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LW25.059943 vom 21. April 2026</w:t>
      </w:r>
    </w:p>
    <w:p>
      <w:r>
        <w:t>VD Tribunal cantonal, 2026-04-21, FR</w:t>
      </w:r>
    </w:p>
    <w:p>
      <w:r>
        <w:rPr>
          <w:b/>
        </w:rPr>
        <w:t xml:space="preserve">Quelle: </w:t>
      </w:r>
      <w:r>
        <w:t>https://mcp.opencaselaw.ch/entscheid/vd_gerichte_LW25.059943</w:t>
      </w:r>
    </w:p>
    <w:p>
      <w:r>
        <w:t>FR: VD_GERICHTE LW25.059943 du 21 avril 2026</w:t>
      </w:r>
    </w:p>
    <w:p>
      <w:r>
        <w:t>IT: VD_GERICHTE LW25.059943 del 21 aprile 2026</w:t>
      </w:r>
    </w:p>
    <w:p>
      <w:pPr>
        <w:pStyle w:val="Heading2"/>
      </w:pPr>
      <w:r>
        <w:t>Erwägungen</w:t>
      </w:r>
    </w:p>
    <w:p>
      <w:r>
        <w:rPr>
          <w:b/>
        </w:rPr>
        <w:t>E. 1</w:t>
      </w:r>
    </w:p>
    <w:p>
      <w:r>
        <w:t>CC). Les personnes parties à la procédure, les proches de la personne concernée et les personnes qui ont un intérêt juridique à l'annulation ou à la modification de la décision attaquée ont qualité pour recourir (art. 450 al.</w:t>
      </w:r>
    </w:p>
    <w:p>
      <w:r>
        <w:rPr>
          <w:b/>
        </w:rPr>
        <w:t>E. 1.1</w:t>
      </w:r>
    </w:p>
    <w:p>
      <w:r>
        <w:t>Le recours est dirigé contre une décision de la justice de paix instituant une curatelle de représentation au sens de l'art. 306 al. 2 CC en faveur du recourant mineur.</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w:t>
      </w:r>
    </w:p>
    <w:p>
      <w:r>
        <w:rPr>
          <w:b/>
        </w:rPr>
        <w:t>E. 1.2.2</w:t>
      </w:r>
    </w:p>
    <w:p>
      <w:r>
        <w:t>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15J001</w:t>
      </w:r>
    </w:p>
    <w:p>
      <w:r>
        <w:t>- 5 - de l'enfant, la maxime inquisitoire illimitée est applicable, de sorte que les restrictions posées par l'art. 317 CPC pour l'introduction de faits ou moyens de preuve nouveaux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n. 5.84, p. 182).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Basler Kommentar, nn. 6 ss ad art. 450d CC, p. 2957).</w:t>
      </w:r>
    </w:p>
    <w:p>
      <w:r>
        <w:rPr>
          <w:b/>
        </w:rPr>
        <w:t>E. 1.3.1</w:t>
      </w:r>
    </w:p>
    <w:p>
      <w:r>
        <w:t>Le recours a été déposé par le mineur B.________, qui a agi de manière autonome, sans l’intermédiaire d’un représentant légal. Il convient d’examiner la recevabilité de son recours.</w:t>
      </w:r>
    </w:p>
    <w:p>
      <w:r>
        <w:rPr>
          <w:b/>
        </w:rPr>
        <w:t>E. 1.3.2</w:t>
      </w:r>
    </w:p>
    <w:p>
      <w:r>
        <w:t>Un mineur capable de discernement peut former recours seul, à savoir de manière autonome, pour autant qu’il s’agisse de l’enfant concerné par la décision ou la procédure en question (Droese, Basler Kommentar, nn. 27 et 29 ad art. 450 CC, p. 2819), en particulier lorsque la décision concerne l’exercice de ses droits strictement personnels (art. 19c al. 1 CC et 67 al. 3 15J001</w:t>
      </w:r>
    </w:p>
    <w:p>
      <w:r>
        <w:t>- 6 - let. a CPC ; ATF 120 Ia 369 consid. 1 ; TF 5A_1049/2020 du 28 mai 2021 consid. 2.3.1 ; TF5A_123/2020 du 7 octobre 2020 consid. 1.1 ; Tappy, in : Pichonnaz/Foëx/Fountoulakis [éd.], Commentaire romand du Code civil I, Art. 1-456 CC, 2e éd., Bâle 2024, ci-après : CR-CC I, n. 68 ad art. 450 CC, p. 3253 ; Guide pratique COPMA 2017, n. 5.80, pp. 180 et 181). En général, les mesures prises en matière de protection de l’adulte et de l’enfant touchent des droits strictement personnels (Tappy, CR-CC I, n. 69 ad art. 450 CC, p. 3253 ; sur le tout : CCUR 27 décembre 2023/261 consid. 1.3.2). La capacité de discernement d’un mineur est en principe retenue dès l’âge de 10-12 ans, voire avant si le développement de l’enfant et sa compréhension de la problématique en jeu le permettent (Meier, CR- CC I, n. 14 ad art. 314a CC). Selon la jurisprudence du Tribunal fédéral, à partir de l’âge de 10 ans, l’on peut partir du principe que le mineur est capable de discernement (TF 5A_796/2019 du 18 mars 2020 consid. 2.3).</w:t>
      </w:r>
    </w:p>
    <w:p>
      <w:r>
        <w:rPr>
          <w:b/>
        </w:rPr>
        <w:t>E. 1.3.3</w:t>
      </w:r>
    </w:p>
    <w:p>
      <w:r>
        <w:t>En l’espèce, B.________ était âgé de presque 16 ans au moment du dépôt de son recours. Compte tenu de son âge, on peut considérer qu’il est capable de discernement pour faire valoir ses intérêts propres dans la présente procédure et saisir les enjeux de celle-ci, ce qui est confirmé par la teneur de son recours. En outre, B.________ est concerné par la mesure de curatelle contestée. Le présent recours est par conséquent recevable du point de vue de la légitimation à recourir. Par ailleurs, il est motivé et a été interjeté en temps utile. Il satisfait donc aux conditions de recevabilité. Le recours étant manifestement mal fondé, au vu des considérations qui seront développées ci-après, il a été renoncé à consulter l'autorité de protection et aucune détermination n’a été recueillie.</w:t>
      </w:r>
    </w:p>
    <w:p>
      <w:r>
        <w:rPr>
          <w:b/>
        </w:rPr>
        <w:t>E. 2</w:t>
      </w:r>
    </w:p>
    <w:p>
      <w:r>
        <w:t>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 TF 5A_922/2015 du 4 février 2016 consid. 5.1).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15J001</w:t>
      </w:r>
    </w:p>
    <w:p>
      <w:r>
        <w:t>- 7 -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 14 décembre 1966, aujourd'hui abrogé], p. 763, point de vue qui demeure valable sous l’empire du nouveau droit).</w:t>
      </w:r>
    </w:p>
    <w:p>
      <w:r>
        <w:rPr>
          <w:b/>
        </w:rPr>
        <w:t>E. 2.2</w:t>
      </w:r>
    </w:p>
    <w:p>
      <w:r>
        <w:t>La procédure devant l'autorité de protection est régie par les art. 443 ss CC. La personne concernée doit être entendue personnellement, à moins que l’audition personnelle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5A_74/2024 du 16 janvier 2025 consid. 5.2).</w:t>
      </w:r>
    </w:p>
    <w:p>
      <w:r>
        <w:rPr>
          <w:b/>
        </w:rPr>
        <w:t>E. 2.3</w:t>
      </w:r>
    </w:p>
    <w:p>
      <w:r>
        <w:t>En l'espèce, par courrier du 10 décembre 2025, le juge de paix a fixé à J.________ un délai au 24 décembre 2025 pour se déterminer sur la mesure de curatelle de représentation envisagée en faveur de son fils dans le cadre de la succession de feu son père. Il a précisé que la justice de paix statuerait ensuite « en principe » à huis clos. La mère n'a pas procédé dans le délai imparti. B.________, alors âgé de quinze ans, n'a pas été entendu par l'autorité de protection alors qu'il aurait pu l'être compte tenu de son âge. Son audition ne se justifiait toutefois pas, la curatelle litigieuse étant une mesure légère de protection de l'enfant (CCUR 3 février 2026/16 ; CCUR 28 juillet 2025/74 ; CCUR 11 juillet 2024/154). 15J001</w:t>
      </w:r>
    </w:p>
    <w:p>
      <w:r>
        <w:t>- 8 - La décision entreprise est donc formellement correcte et peut être examinée sur le fond.</w:t>
      </w:r>
    </w:p>
    <w:p>
      <w:r>
        <w:rPr>
          <w:b/>
        </w:rPr>
        <w:t>E. 3.1</w:t>
      </w:r>
    </w:p>
    <w:p>
      <w:r>
        <w:t>Le recourant conteste la curatelle de représentation instituée en sa faveur, qu'il considère injustifiée et disproportionnée. Il fait valoir qu'il fait entièrement confiance à sa mère, laquelle lui a expliqué clairement et honnêtement en quoi consistait la succession de son père et a toujours fait preuve de transparence, en prenant le temps de le tenir informé et de répondre à ses questions. Il indique qu'il se sent en sécurité avec elle et estime qu'elle est la personne la plus légitime pour gérer la situation dans son intérêt. Il déclare qu'il ne ressent ni conflit ni risque particulier qui justifierait une curatelle et affirme qu'au contraire, cette mesure complique une situation déjà difficile et ajoute un stress inutile.</w:t>
      </w:r>
    </w:p>
    <w:p>
      <w:r>
        <w:rPr>
          <w:b/>
        </w:rPr>
        <w:t>E. 3.2</w:t>
      </w:r>
    </w:p>
    <w:p>
      <w:r>
        <w:t>Le catalogue des mesures de protection de l’enfant se trouve principalement aux art. 307-312 CC ; la curatelle de l’art. 306 al. 2 CC relève également de la protection matérielle de l’enfant (Guide pratique COPMA 2017, n. 2.13, p. 36 et n. 2.18, p. 37 ; Kühnlein, Les droits fondamentaux et le principe de subsidiarité en protection de l’adulte et de l’enfant, Revue de la protection des mineurs et des adultes [RMA] 2/2019, p. 107). L'art. 306 al. 2 CC prévoit que si les père et mère sont empêchés d'agir ou si, dans une affaire, leurs intérêts entrent en conflit avec ceux de l'enfant, l'autorité de protection de l'enfant nomme un curateur ou prend elle-même les mesures nécessaires. Une telle désignation doit intervenir dans tous les cas où les intérêts du mineur sont en opposition avec ceux du représentant légal (Meier/Stettler, Droit de la filiation, 6e éd., Genève/Zurich/Bâle 2019, n. 1225, pp. 807 et 808).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analogie) (Choffat, 15J001</w:t>
      </w:r>
    </w:p>
    <w:p>
      <w:r>
        <w:t>- 9 - Panorama sur les curatelles de protection du mineur et les mesures de protection moins incisives, in Revue de l'avocat 2017, p. 411, spéc. p. 419). L'existence d’un conflit d’intérêts se détermine par conséquent de manière abstraite et non concrète (ATF 118 II 101 consid. 4, JdT 1995 I 103 ; ATF 107 II 105 consid. 4, JdT 1982 I 106). Il y a conflit d'intérêts à partir du moment où il existe in abstracto un risque que le représentant légal fasse passer ses intérêts avant ceux de l'enfant. En principe, un conflit d’intérêts doit toujours être admis lorsque le représentant a des intérêts propres dans l’affaire, indépendamment du fait que, dans le cas concret, ils sont ou non en contradiction avec ceux du représenté (ATF 121 III 1 ; Geiser, Commentaire du droit de la famille [CommFam], Protection de l’adulte, Berne 2013, n. 27 ad art. 365 CC).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et le conflit d'intérêts est direct si une affaire met en présence la personne concernée et son représentant légal, ce qui est notamment le cas du partage successoral, de l'action de l'enfant en désaveu ou de la représentation d'un enfant dans une procédure pénale contre un de ses parents (Steinauer/Fountoulakis, op. cit., n. 1241, p. 550). L’existence d’un conflit d'intérêts entraîne de plein droit l'extinction du pouvoir de représentation du parent indépendamment de savoir si l’autorité a ou non désigné un curateur (art. 306 al. 3 CC ; Meier/Stettler, op. cit., n. 1228, pp. 809 et 810). Le curateur se substitue au représentant légal et agit en ses lieu et place, son rôle étant limité aux affaires pour lesquelles il existe un empêchement ou un conflit d'intérêts.</w:t>
      </w:r>
    </w:p>
    <w:p>
      <w:r>
        <w:rPr>
          <w:b/>
        </w:rPr>
        <w:t>E. 3.3</w:t>
      </w:r>
    </w:p>
    <w:p>
      <w:r>
        <w:t>En l'espèce, le recourant et sa mère sont tous deux héritiers de feu G.________. Leurs intérêts respectifs sont ainsi susceptibles d'entrer en conflit, tant lors du partage de la succession que dans sa gestion. Même si le recourant se prévaut de la confiance entière qu'il voue à sa mère, il convient de considérer que, dans l’abstrait, ses intérêts et ceux de sa 15J001</w:t>
      </w:r>
    </w:p>
    <w:p>
      <w:r>
        <w:t>- 10 - représentante légale sont opposés, dès lors que, par exemple, la répudiation de la succession par l'un des héritiers a pour conséquence d'accroître la part de l'autre. L’institution d'une curatelle de représentation au sens de l’art. 306 al. 2 CC se justifie donc et cette mesure de protection doit être confirmée. L'existence d'une relation de confiance entre la mère et son fils constitue un élément favorable, dans la mesure où elle est susceptible de faciliter le travail de la curatrice. Si toutes les parties s'entendent pour défendre les intérêts du recourant, la situation n'apparaît pas de nature à engendrer un stress particulier.</w:t>
      </w:r>
    </w:p>
    <w:p>
      <w:r>
        <w:rPr>
          <w:b/>
        </w:rPr>
        <w:t>E. 4</w:t>
      </w:r>
    </w:p>
    <w:p>
      <w:r>
        <w:t>En conclusion, le recours, manifestement mal fondé,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15J001</w:t>
      </w:r>
    </w:p>
    <w:p>
      <w:r>
        <w:t>- 11 - La présidente : La greffière : Du L'arrêt qui précède, dont la rédaction a été approuvée à huis clos, est notifié à : - M. B.________, - Mme J.________, - Me D.________, et communiqué à : - M. le Juge de paix du district de la Riviera – Pays-d'Enhaut, - Greffe des successions de la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