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LW14.049488 vom 22. April 2015</w:t>
      </w:r>
    </w:p>
    <w:p>
      <w:r>
        <w:t>VD Tribunal cantonal, 2015-04-22, FR</w:t>
      </w:r>
    </w:p>
    <w:p>
      <w:r>
        <w:rPr>
          <w:b/>
        </w:rPr>
        <w:t xml:space="preserve">Quelle: </w:t>
      </w:r>
      <w:r>
        <w:t>https://mcp.opencaselaw.ch/entscheid/vd_gerichte_LW14.049488</w:t>
      </w:r>
    </w:p>
    <w:p>
      <w:r>
        <w:t>FR: VD_GERICHTE LW14.049488 du 22 avril 2015</w:t>
      </w:r>
    </w:p>
    <w:p>
      <w:r>
        <w:t>IT: VD_GERICHTE LW14.049488 del 22 aprile 2015</w:t>
      </w:r>
    </w:p>
    <w:p>
      <w:pPr>
        <w:pStyle w:val="Heading2"/>
      </w:pPr>
      <w:r>
        <w:t>Erwägungen</w:t>
      </w:r>
    </w:p>
    <w:p>
      <w:r>
        <w:rPr>
          <w:b/>
        </w:rPr>
        <w:t>E. 2</w:t>
      </w:r>
    </w:p>
    <w:p>
      <w:r>
        <w:t>a) La Chambre des curatelles, qui n'est pas tenue par les moyens et les conclusions des parties, examine d'office si la décision n'est pas affectée de vices d'ordre formel. Il convient dès lors d’examiner si le Juge de paix du district de l’Ouest lausannois était compétent pour prendre la décision entreprise.</w:t>
      </w:r>
    </w:p>
    <w:p>
      <w:r>
        <w:t>- 10 - b)Selon l’art. 315 al. 1 CC, les mesures de protection de l’enfant (cf. art. 307 ss CC) sont ordonnées par l’autorité de protection de l’enfant du domicile de l’enfant. Cela étant, s’il y a un élément d’extranéité, il faut se référer aux règles du droit international privé pour déterminer la compétence des autorités en matière internationale. A teneur de l'art. 85 al. 1 LDIP (Loi fédérale du 18 décembre 1987 sur le droit international privé, RS 291), la compétence des autorités judiciaires ou administratives suisses, la loi applicable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(ci-après : CLaH 96 ; RS 0.211.231.011). Ayant pour objet les mesures tendant à la protection de la personne et des biens de l'enfant, cette convention régit l'attribution et le retrait de l'autorité parentale, le règlement de la garde et des relations personnelles, ainsi que l'instauration d'une curatelle (art. 1 et 3 CLaH 96 ; cf. également ATF 132 III 586 c. 2.2.1 et les références citées). Avant son entrée en vigueur le 1er juillet 2009, le droit international suisse renvoyait, pour cette matière, à la Convention de La Haye du 5 octobre 1961 concernant la compétence des autorités et la loi applicable en matière de protection des mineurs (ci-après : CLaH 61 ; RS 0.211.231.01) ; cette dernière continue à s'appliquer dans les relations entre la Suisse et les Etats qui n'ont pas ratifié la CLaH 96 (cf. Message concernant la mise en oeuvre des conventions sur l'enlèvement international d'enfants ainsi que l'approbation et la mise en oeuvre des conventions de La Haye en matière de protection des enfants et des adultes du 28 février 2007, FF 2007 p. 2470 ; TF 5A_440/2011 du 25 octobre 2011 c. 2.1), mais seulement pour autant que ces Etats soient parties à la Convention ou l'aient ratifiée (art. 19 ss CLaH 61 et art. 11 ss de la Convention de Vienne du 23 mai 1969 sur le droit des traités [RS 0.111] ; TF 5A_809/2012 du 8 janvier 2013 c. 2.3.1). Dans le cadre des relations avec un Etat n'ayant ratifié ni la CLaH 96 ni la CLaH 61, c'est la première qui s'applique compte tenu du renvoi général</w:t>
      </w:r>
    </w:p>
    <w:p>
      <w:r>
        <w:t>- 11 - de l'art. 85 al. 1 LDIP (TF 5A_809/2012 précité c. 2.3.1 et la jurisprudence citée). L’Italie, qui n’est pas partie à la CLaH 96, a ratifié, tout comme la Suisse, la CLaH 61, de sorte que celle-ci, entrée en vigueur pour la Suisse le 4 février 1969 et pour l’Italie le 23 avril 1995, est applicable. Cette convention régit en particulier l'attribution et le retrait de l'autorité parentale, ainsi que la règlementation du droit de déterminer le lieu de résidence et des relations personnelles (TF 5P.122/2006 du 11 juillet 2006 c. 2.2, in La pratique du droit de la famille [FamPra.ch] 2006, p. 986; ATF 124 III 176 c. 4). La CLaH 61 s'applique à tous les mineurs qui ont leur résidence habituelle dans un des Etats contractants (art. 13 al. 1 CLaH 61), même s'ils ne sont pas ressortissants d'un Etat contractant (Dutoit, Commentaire de la loi fédérale du 18 décembre 1987, 4e éd., 2005, n. 3 ad art. 85 LDIP, p. 280). Ainsi, ce sont les autorités, tant judiciaires qu'administratives, de l'Etat de la résidence habituelle d'un mineur qui sont compétentes pour prendre les mesures tendant à la protection de sa personne ou de ses biens qui s'imposent et qui sont prévues par leur loi interne (art. 1 et 2 al. 1 CLaH 61). Si la CLaH 61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op. cit., n. 4 ad art. 85 LDIP, p. 281). b)En l’espèce, les enfants B.C.________ et C.C.________ ont vécu en Suisse avec leur mère pendant plusieurs années et résident à [...] depuis 2013 où ils fréquentent un établissement scolaire, de sorte qu’il convient d’admettre que les enfants ont leur résidence habituelle à [...]. Se fondant sur un jugement pénal rendu le 4 décembre 2012 par le Tribunal de [...], le premier juge a retenu qu’il était rendu suffisamment vraisemblable à ce stade qu’au moment du décès de W.________, le</w:t>
      </w:r>
    </w:p>
    <w:p>
      <w:r>
        <w:t>- 12 - recourant exerçait l’autorité parentale conjointe sur ses enfants B.C.________ et C.C.________. Conformément aux art. 297 al. 3 CC et 327a CC a contrario, la tutelle provisoire instituée le 11 décembre 2014 n’avait ainsi plus d’objet et devait être levée. Ces deux points, qui ne sont pas contestés par le recourant, peuvent être confirmés par la cour de céans.</w:t>
      </w:r>
    </w:p>
    <w:p>
      <w:r>
        <w:rPr>
          <w:b/>
        </w:rPr>
        <w:t>E. 3</w:t>
      </w:r>
    </w:p>
    <w:p>
      <w:r>
        <w:t>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w:t>
      </w:r>
    </w:p>
    <w:p>
      <w:r>
        <w:t>- 14 -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Les voeux exprimés par un enfant sur son attribution ou sur le droit de visite doivent être pris en considération lorsqu’il s’agit d’une</w:t>
      </w:r>
    </w:p>
    <w:p>
      <w:r>
        <w:t>- 15 - résolution ferme et qu’elle est prise par un enfant dont l’âge et le développement - en règle générale à partir de l’âge de douze ans révolus - permettent d’en tenir compte (TF 5A_107/2007 du 16 novembre 2007 c. 3.2; TF 5A_716/2010 du 23 février 2011 c. 4, in La pratique du droit de la famille [FamPra.ch] 2011 p. 491). b) 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le retrait provisoire du droit de déterminer le lieu de résidence avec placement de l’enfant (Droit de la protection de l’adulte, Guide pratique COPMA, 2012,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 3 ; cf. art. 261 al. 1 CPC). Toute mesure provisionnelle implique qu’il y ait urgence. Il faut donc qu’il y ait nécessité d’une protection immédiate en raison d’un danger imminent menaçant les droits de l’intéressé (Hohl, Procédure civile, Tome II, 2e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w:t>
      </w:r>
    </w:p>
    <w:p>
      <w:r>
        <w:t>- 16 - c)En l’espèce, W.________ a quitté l’Italie pour venir s’établir en Suisse avec B.C.________ et C.C.________ il y a plusieurs années sans l’accord du recourant. Le recourant, alors resté en Italie, n’a pas vu ses enfants pendant huit ans. Il a revu ses enfants pour la première fois lors d’un repas le 20 janvier 2015. Si le recourant n’est en rien responsable du fait qu’il n’a pas pu voir ses enfants pendant tout ce temps, il n’en demeure pas moins que, durant ce long laps de temps, les deux enfants ont vécu une grande partie de leur vie en Suisse, qu’ils ne connaissent pas leur père et que celui-ci ne parle pas le français. B.C.________ et C.C.________, âgés respectivement de quatorze ans et de onze ans, sont aujourd’hui bien intégrés à [...] où ils suivent leur scolarité et ont leur centre de vie de jeunes adolescents. Depuis le décès brutal de leur mère, les deux enfants vivent auprès de leur oncle et tante maternels qu’ils connaissent bien et qui semblent disposer des capacités éducatives nécessaires pour les accompagner. B.C.________ est en dernière année d’école obligatoire et se prépare à débuter une formation professionnelle. Entendu par une juge assesseur le 28 janvier 2015, B.C.________ a dit avoir revu son père avec plaisir et avoir envie de garder des relations avec lui, tout en précisant qu’il redoutait de devoir tout quitter pour aller s’installer en Italie. Il a également parlé avec beaucoup d’émotions de sa mère et exprimé tout l’amour qu’il avait pour elle. Quant à C.C.________, elle a déclaré à la juge assesseur qu’elle aimerait revoir son père, mais qu’elle regretterait de quitter la Suisse et tout son entourage affectif et scolaire. Elle a ajouté qu’elle se trouvait bien chez son oncle et sa tante. Les enfants ont exprimé des propos semblables à l’assistante sociale P.________. Dans ces circonstances particulièrement difficiles, liées au décès brutal de leur mère avec laquelle ils entretenaient des relations étroites, B.C.________ et C.C.________, qui sont en adolescence et préadolescence, ont un besoin réel de pouvoir conserver un espace de vie connu et ils ont besoin de temps pour développer une relation affective complète avec leur père. Il y a lieu de tenir compte de leur volonté exprimée à réitérées reprises et de ne pas les contraindre à devoir</w:t>
      </w:r>
    </w:p>
    <w:p>
      <w:r>
        <w:t>- 17 - immédiatement tout quitter en Suisse pour aller s’établir en Italie avec leur père. Il convient aussi de prendre en compte le fait que les enfants sont à un âge où de tels changements peuvent provoquer des difficultés importantes quant à leurs capacités scolaires et de formation profes- sionnelle. Or comme le relève l’assistante sociale P.________, le recourant n’est en l’état pas en mesure de saisir les besoins de stabilité exprimés par ses enfants. La souffrance du recourant d’avoir dû vivre éloigné de ses enfants prend le pas sur la nécessité de permettre à ces derniers de retrouver un certain équilibre émotionnel et affectif avant de pouvoir envisager un avenir éventuel en Italie. A cela s’ajoute le fait qu’il apparaît nécessaire de s’assurer des conditions de vie qui seraient celles des enfants en Italie par le biais d’une enquête d’évaluation effectuée par le Service social international, actuellement en cours. Tout bien considéré, la mesure querellée apparaît conforme au principe de proportionnalité et au bien des enfants qu’il convient de protéger dans leur développement. La décision du premier juge ne prête pas le flanc à la critique et doit être confirmée. Elle est d’autant plus justifiée que l’on se trouve au stade provisionnel, qu’elle ne préjuge pas du sort de la cause au fond et que la situation sera réexaminée au terme de l’enquête. Enfin, au regard de l’ensemble des circonstances, les modalités du droit de visite octroyé au recourant par le premier juge, non remises en cause par le recourant, apparaissent parfaitement adéquates, proportionnées et conformes aux intérêts des enfants qui doivent progressivement faire connaissance avec leur père qu’ils ne connaissent pas et établir des liens. Cette décision se justifie d’autant plus qu’il s’agit d’une base de travail susceptible d’être modifiée en tout temps par l’OCTP. La décision peut donc également être confirmée sur ce point. d)L'art. 306 al. 2 CC prévoit que si les père et mère sont empêchés d’agir ou si, dans une affaire, leurs intérêts entrent en conflit avec ceux de l'enfant, l'autorité de protection de l'enfant nomme un curateur ou prend elle-même les mesures nécessaires. L’existence d’un</w:t>
      </w:r>
    </w:p>
    <w:p>
      <w:r>
        <w:t>- 18 - conflit d’intérêts se détermine de manière abstraite et non concrète. En principe, un conflit d’intérêts doit toujours être admis lorsque le représentant a des intérêts propres dans l’affaire, indépendamment du fait que, dans le cas concret, ils sont ou non en contradiction avec ceux du représenté (Geiser, in Commentaire du droit de la famille [CommFam], Protection de l’adulte, Berne 2013, n. 27 ad art. 365 CC, p. 158 et jurisprudence citée). La curatelle de représentation instituée par le premier juge, pour laquelle le recourant ne développe au demeurant aucun moyen, s’avère également nécessaire en l’état. Compte tenu du décès de la mère des enfants, de l’éloignement géographique du recourant et de son manque de connaissances de la langue française, un curateur doit être désigné pour effectuer toutes les démarches administratives et légales pour les enfants, en particulier celles liées à la succession de leur mère. La décision doit donc aussi être confirmée sur ce point.</w:t>
      </w:r>
    </w:p>
    <w:p>
      <w:r>
        <w:rPr>
          <w:b/>
        </w:rPr>
        <w:t>E. 4</w:t>
      </w:r>
    </w:p>
    <w:p>
      <w:r>
        <w:t>En conclusion, le recours interjeté par A.C.________ doit être rejeté et l’ordonnance entreprise confirmée. Le présent arrêt peut être rendu sans frais judiciaires (art. 74a al. 4 TFJC [Tarif du 28 septembre 2010 des frais judiciaires civils, RSV 270.11.5]). Il n’y a pas lieu d’allouer des dépens au recourant qui n’obtient pas gain de cause. Par ces motifs, la Chambre des curatelles du Tribunal cantonal, statuant à huis clos, prononce : I. Le recours est rejeté. II. La décision est confirmée.</w:t>
      </w:r>
    </w:p>
    <w:p>
      <w:r>
        <w:t>- 19 - III. L’arrêt est rendu sans frais. IV. L'arrêt motivé est exécutoire. La présidente : La greffière : Du 22 avril 2015 Le dispositif de l'arrêt qui précède est communiqué par écrit aux intéressés. La greffière : Du L'arrêt qui précède, dont la rédaction a été approuvée à huis clos, est notifié à : - Me Véronique Fontana (pour A.C.________), - P.________, assistante sociale auprès de l’Office des curatelles et tutelles professionnelles, - Service de protection de la jeunesse, Unité d’appui juridique, et communiqué à : - Juge de paix du district de l’Ouest lausannois,</w:t>
      </w:r>
    </w:p>
    <w:p>
      <w:r>
        <w:t>- 20 -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