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LV20.020115 vom 20. Juli 2020</w:t>
      </w:r>
    </w:p>
    <w:p>
      <w:r>
        <w:t>VD Tribunal cantonal, 2020-07-20, FR</w:t>
      </w:r>
    </w:p>
    <w:p>
      <w:r>
        <w:rPr>
          <w:b/>
        </w:rPr>
        <w:t xml:space="preserve">Quelle: </w:t>
      </w:r>
      <w:r>
        <w:t>https://mcp.opencaselaw.ch/entscheid/vd_gerichte_LV20.020115</w:t>
      </w:r>
    </w:p>
    <w:p>
      <w:r>
        <w:t>FR: VD_GERICHTE LV20.020115 du 20 juillet 2020</w:t>
      </w:r>
    </w:p>
    <w:p>
      <w:r>
        <w:t>IT: VD_GERICHTE LV20.020115 del 20 luglio 2020</w:t>
      </w:r>
    </w:p>
    <w:p>
      <w:pPr>
        <w:pStyle w:val="Heading2"/>
      </w:pPr>
      <w:r>
        <w:t>Erwägungen</w:t>
      </w:r>
    </w:p>
    <w:p>
      <w:r>
        <w:rPr>
          <w:b/>
        </w:rPr>
        <w:t>E. 1</w:t>
      </w:r>
    </w:p>
    <w:p>
      <w:r>
        <w:t>Le recours est dirigé contre une décision de la justice de paix refusant d’autoriser une mère à effectuer un prélèvement sur le compte épargne de son fils mineur.</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- 4 -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du mineur concerné, partie à la procédure, le présent recours est recevable. Le recours étant manifestement mal fondé, au vu des considérations qui seront développées ci-après, il a été renoncé à consulter l'autorité de protection.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- 5 -</w:t>
      </w:r>
    </w:p>
    <w:p>
      <w:r>
        <w:rPr>
          <w:b/>
        </w:rPr>
        <w:t>E. 2.2</w:t>
      </w:r>
    </w:p>
    <w:p>
      <w:r>
        <w:t>La procédure devant l’autorité de protection est régie par les art. 443 ss CC. Les personnes concernées doivent être entendues personnellement, à moins que l’audition ne paraisse disproportionnée (art. 447 al. 1 CC). A.F.________ n’a pas été entendue par la justice de paix avant qu’elle rende sa décision. Elle a toutefois pu faire valoir ses arguments devant la Chambre de céans, laquelle dispose d’un plein pouvoir d'examen en fait et en droit. Une éventuelle violation de son droit d’être entendue a ainsi été réparée en deuxième instance. La décision entreprise est donc formellement correcte et peut être examinée sur le fond.</w:t>
      </w:r>
    </w:p>
    <w:p>
      <w:r>
        <w:rPr>
          <w:b/>
        </w:rPr>
        <w:t>E. 3</w:t>
      </w:r>
    </w:p>
    <w:p>
      <w:r>
        <w:t>La recourante fait valoir qu’elle a versé la somme de 7'000 fr. sur le compte bancaire de son fils pour ses besoins futurs et qu’elle en a besoin pour acheter une voiture pour le conduire à ses entraînements de foot, qui auront lieu à [...] à partir du 22 juillet 2020, B.F.________ intégrant l’équipe [...] pour l’année 2020-2021. Elle explique qu’auparavant, c’était son époux, décédé le [...] 2018, qui accompagnait son fils aux entraînements, aux matchs et aux compétitions et qu’il le faisait avec son véhicule de travail.</w:t>
      </w:r>
    </w:p>
    <w:p>
      <w:r>
        <w:rPr>
          <w:b/>
        </w:rPr>
        <w:t>E. 3.1</w:t>
      </w:r>
    </w:p>
    <w:p>
      <w:r>
        <w:t>Les père et mère doivent pourvoir à l’entretien de l’enfant et assumer, par conséquent, les frais de sa prise en charge, de son éducation, de sa formation et des mesures prises pour le protéger (art. 276 al. 2 CC). Il leur incombe également d’administrer les biens de l’enfant, aussi longtemps qu’ils ont l’autorité parentale (art. 318 CC). Pour l’entretien de l’enfant, les père et mère peuvent utiliser les revenus des biens appartenant à ce dernier (art. 319 al. 1 CC). Autant que les besoins courants l’exigent, ils peuvent également utiliser les versements en capital, dommages-intérêts et autres prestations semblables (art. 320 al. 1 CC ; Meier/Stettler, Droit de la filiation, 6e éd., Genève/Zurich/Bâle 2019, n. 1251, pp. 821 et 822). Ces biens utilisables correspondent aux « autres</w:t>
      </w:r>
    </w:p>
    <w:p>
      <w:r>
        <w:t>- 6 - ressources » mentionnées à l’art. 276 al. 3 CC, soit celles qui ont pour fonction spécifique de remplacer l’entretien, dont font partie par exemple une rente d’orphelin ou des allocations familiales (Meier/Stettler, op. cit., n. 1252, p. 822). Si ces « autres ressources » ou les biens libérés de l’enfant (art. 321 à 323 CC) satisfont entièrement aux besoins de ce dernier, les père et mère sont déliés de leur obligation d’entretien (art. 276 al. 3 CC ; TF 5A_149/2011 du 6 juillet 2011 consid. 3.3.1 ; ATF 123 III 161 consid. 4a). En revanche, les père et mère ne peuvent en principe pas se servir de la substance de la fortune appartenant à l’enfant, autre que celle constituée des biens mentionnés à l’art. 320 al. 1 CC. En ce sens, l’administration du patrimoine de l’enfant est purement conservatoire. Le principe précité de l’intangibilité des biens de l’enfant connaît toutefois des limites. Aux termes de l’art. 320 al. 2 CC, lorsque cela est nécessaire pour subvenir à l’entretien, à l’éducation ou à la formation de l’enfant, l’autorité de protection de l'enfant peut permettre aux père et mère de prélever sur les autres biens de l’enfant la contribution qu’elle fixera. Les conditions posées à l’art. 320 al. 2 CC sont, d’une part, la nécessité du prélèvement et, d’autre part, l’affectation de ce dernier à l’entretien, l’éducation ou la formation de l’enfant (Meier/Stettler, op. cit., n. 1253, p. 822). Le terme de « nécessité » se définit en fonction de l’obligation des père et mère de subvenir par leurs propres ressources aux besoins de leur enfant (art. 276 al. 2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 320 al. 1 CC, doivent avoir été épuisés avant que les parents puissent utiliser cette part de la fortune de l’enfant (Meier/Stettler, op. cit., n. 1254, p. 823). Pour pouvoir apprécier la nécessité du prélèvement en fonction de la situation financière des père et mère, l’autorité de</w:t>
      </w:r>
    </w:p>
    <w:p>
      <w:r>
        <w:t>- 7 - protection de l'enfant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(TF 5A_149/2011 du 6 juillet 2011 consid. 3.3.2, in La pratique du droit de la famille [FamPra.ch] 2011, n° 68, p. 998 ; Meier/Stettler, op. cit., n. 1255, p. 823).</w:t>
      </w:r>
    </w:p>
    <w:p>
      <w:r>
        <w:rPr>
          <w:b/>
        </w:rPr>
        <w:t>E. 3.2</w:t>
      </w:r>
    </w:p>
    <w:p>
      <w:r>
        <w:t>En l’espèce, la recourante requiert l’autorisation de prélever un montant unique de 7'000 fr. sur le compte bancaire de son fils afin de pouvoir acheter un véhicule automobile, indispensable pour l’accompagner aux entraînements de foot qui vont se dérouler à [...] alors qu’ils habitent à [...]. Cette situation ne remplit toutefois pas les conditions de l’art. 320 al. 2 CC. En effet, cette disposition prévoit expressément que les biens prélevés doivent être affectés à l’entretien, à l’éducation ou à la formation de l’enfant et les matchs de foot, quand bien même il s’agirait d’une équipe avec du potentiel, n’entrent vraisemblablement pas dans cette catégorie. En outre, les allégations de la recourante ne sont étayées par aucune pièce. De plus, il n’est pas admissible de prélever l’entier du patrimoine de l’enfant pour financer intégralement un bien qui couvre l’entretien de toute la famille. Par ailleurs, les déplacements de l’enfant doivent pouvoir être assurés autrement que par le véhicule familial, notamment en co-voiturage ou en train.</w:t>
      </w:r>
    </w:p>
    <w:p>
      <w:r>
        <w:rPr>
          <w:b/>
        </w:rPr>
        <w:t>E. 4</w:t>
      </w:r>
    </w:p>
    <w:p>
      <w:r>
        <w:t>En conclusion, le recours de A.F.________ doit être rejeté et la décision entreprise confirmée. Le présent arrêt peut être rendu sans frais judiciaires, au vu du manque de ressources supposé de la recourante (art. 74a al. 4 TFJC [Tarif du 28 septembre 2010 des frais judiciaires civils ; BLV 270.11.5]).</w:t>
      </w:r>
    </w:p>
    <w:p>
      <w:r>
        <w:t>- 8 - Par ces motifs, la Chambre des curatelles du Tribunal cantonal, statuant à huis clos, prononce : I. Le recours est rejeté. II. La décision est confirmée. III. L’arrêt est rendu sans frais judiciaires de deuxième instance. IV. L'arrêt est exécutoire. Le président : La greffière : Du L'arrêt qui précède, dont la rédaction a été approuvée à huis clos, est notifié à : - Mme A.F.________,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