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LT20.031953 vom 15. Mai 2023</w:t>
      </w:r>
    </w:p>
    <w:p>
      <w:r>
        <w:t>VD Tribunal cantonal, 2023-05-15, FR</w:t>
      </w:r>
    </w:p>
    <w:p>
      <w:r>
        <w:rPr>
          <w:b/>
        </w:rPr>
        <w:t xml:space="preserve">Quelle: </w:t>
      </w:r>
      <w:r>
        <w:t>https://mcp.opencaselaw.ch/entscheid/vd_gerichte_LT20.031953</w:t>
      </w:r>
    </w:p>
    <w:p>
      <w:r>
        <w:t>FR: VD_GERICHTE LT20.031953 du 15 mai 2023</w:t>
      </w:r>
    </w:p>
    <w:p>
      <w:r>
        <w:t>IT: VD_GERICHTE LT20.031953 del 15 maggio 2023</w:t>
      </w:r>
    </w:p>
    <w:p>
      <w:pPr>
        <w:pStyle w:val="Heading2"/>
      </w:pPr>
      <w:r>
        <w:t>Erwägungen</w:t>
      </w:r>
    </w:p>
    <w:p>
      <w:r>
        <w:rPr>
          <w:b/>
        </w:rPr>
        <w:t>E. 1</w:t>
      </w:r>
    </w:p>
    <w:p>
      <w:r>
        <w:t>Par décision du 27 septembre 2022, confirmée par arrêt de la Chambre de céans du 23 décembre 2022 (n° 225) puis par arrêt de la IIe Cour de droit civil du Tribunal fédéral du 22 mars 2023 (5A_15/2023), la Justice de paix du district de la Broye-Vully (ci-après : la justice de paix) a notamment mis fin aux enquêtes en transfert/modification de l’autorité parentale conjointe, modification du droit de visite, et en limitation de l’autorité parentale ouvertes en faveur de l’enfant B.Z.________, dit que l’autorité parentale sur l’enfant était exercée exclusivement par sa mère R.________ (ci-après : l’intimée), réglementé l’exercice du droit de visite du père A.Z.________ (ci-après : le recourant), maintenu la curatelle de surveillance des relations personnelles au sens de l’art. 308 al. 2 CC (Code civil suisse du 10 décembre 1907 ; RS 210) instituée en faveur d’B.Z.________, invité la Direction générale de l’enfant et de la jeunesse (ci- après : DGEJ) à prendre contact avec les services de la protection de l’enfance de la région de [...] (France) en vue d’une future intervention et institué une surveillance judiciaire, au sens de l'art. 307 CC, en faveur de l’enfant.</w:t>
      </w:r>
    </w:p>
    <w:p>
      <w:r>
        <w:rPr>
          <w:b/>
        </w:rPr>
        <w:t>E. 2</w:t>
      </w:r>
    </w:p>
    <w:p>
      <w:r>
        <w:t>Par décision du 28 mars 2023, la Juge de paix du district de la Broye-Vully a constaté que la requête du 13 mars 2023 et la requête de mesures superprovisionnelles du 28 mars 2023 de A.Z.________ étaient devenues sans objet.</w:t>
      </w:r>
    </w:p>
    <w:p>
      <w:r>
        <w:rPr>
          <w:b/>
        </w:rPr>
        <w:t>E. 3</w:t>
      </w:r>
    </w:p>
    <w:p>
      <w:r>
        <w:t>Par acte du 31 mars 2023, A.Z.________ a recouru contre cette seconde décision, en prenant les conclusions suivantes avec suite de frais et dépens : « Au titre de mesures superprovisionnelles et provisionnelles :</w:t>
      </w:r>
    </w:p>
    <w:p>
      <w:r>
        <w:t>- 3 - I. Retirer à Madame R.________ le droit de déterminer le lieu de résidence de l’enfant B.Z.________, né le [...] 2009. II. Attribuer un mandat de gardien (mandat de placement et de garde) au Service de l’enfance et de la jeunesse du canton de Fribourg en faveur de l’enfant B.Z.________, né le [...] 2009. Préalablement : III. Requérir en mains des autorités pénales en charge le dossier de la procédure pénale en cours suite à la dénonciation effectuée par la DGEJ sur les dires d’B.Z.________ et verser ledit dossier à la présente procédure. Principalement : IV. Annuler la décision rendue par le Justice de paix du district de la Broye-Vully le 28 mars 2023 dans de la cause LT20.031953/[...]. V. Retirer à Madame R.________ l’autorité parentale et le droit de déterminer le lieu de résidence de l’enfant B.Z.________, né le [...] 2009. VI. Attribuer à Monsieur A.Z.________ l’autorité parentale et le droit de déterminer le lieu de résidence de l’enfant B.Z.________, né le [...] 2009. VII. Rejeter toutes autres et plus amples conclusions. Subsidiairement : VIII.Annuler purement et simplement la décision rendue par la Justice de paix du district de la Broye-Vully le 28 mars 2023 dans la cause LT20.031953/[...] et renvoyer la cause à la Justice de paix du district de la Broye-Vully pour complément d’instruction et nouvelle décision dans le sens des considérants. IX. Rejeter toutes autres et plus amples conclusions. »</w:t>
      </w:r>
    </w:p>
    <w:p>
      <w:r>
        <w:t>- 4 - Par ordonnance du 4 avril 2023, la Juge déléguée de la Chambre de céans (ci-après : la juge déléguée) a rejeté la requête du recourant tendant au prononcé de mesures superprovisionnelles et provisionnelles de deuxième instance et mis les frais judiciaires de cette décision, arrêtés à 200 fr., à la charge de l’intéressé.</w:t>
      </w:r>
    </w:p>
    <w:p>
      <w:r>
        <w:rPr>
          <w:b/>
        </w:rPr>
        <w:t>E. 4</w:t>
      </w:r>
    </w:p>
    <w:p>
      <w:r>
        <w:t>Dans un courrier du 21 avril 2023 adressé au Ministère de la Justice de la France, la DGEJ a notamment indiqué que l’enfant B.Z.________ avait quitté le territoire suisse avec sa mère R.________ le</w:t>
      </w:r>
    </w:p>
    <w:p>
      <w:r>
        <w:rPr>
          <w:b/>
        </w:rPr>
        <w:t>E. 7</w:t>
      </w:r>
    </w:p>
    <w:p>
      <w:r>
        <w:t>avril 2023 pour se rendre chez celle-ci en France, que, selon les informations obtenue, l’intimée avait d’ores et déjà entrepris les démarches nécessaires en vue de la mise en œuvre d’un suivi thérapeutique en faveur de son fils ainsi que de sa future scolarité en France et que, compte tenu de la nouvelle résidence habituelle du mineur concerné, les autorités françaises étaient désormais compétentes pour prendre toute mesure tendant à la protection de celui-ci. Le 28 avril 2023, la juge déléguée a transmis pour information au recourant le courrier susmentionné. 5. 5.1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[Loi du 29 mai d'application du droit fédéral de la protection de l'adulte et de l'enfant ; BLV 211.255] ; Bohnet, Commentaire romand, Code de procédure civile, Bâle 2019, 2e éd., n. 89 ad art. 59 CPC, pp. 196 et 197). L'existence d'un intérêt digne de protection du recourant est ainsi une condition de recevabilité de tout recours et doit être constatée d’office (art. 60 CPC ;</w:t>
      </w:r>
    </w:p>
    <w:p>
      <w:r>
        <w:t>- 5 - Bohnet, ibid., n. 92 ad art. 59 CPC, p. 198 ; CCUR 25 octobre 2022/180 ; CCUR 2 août 2022/132 ; CCUR 17 juin 2021/136).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 virtuel » ; ATF 140 III 92 consid. 1.1, JdT 2014 II 348 ; ATF 136 III 497 consid. 1.1, JdT 2010 I 358 ; ATF 131 II 670 consid. 1.2 ; ATF 128 II 34 consid. 1b ; TF 5A_942/2013 du 8 janvier 2014 consid. 4.1.1 ; CCUR 25 octobre 2022/180 ; CCUR 2 août 2022/132 ; CCUR 17 juin 2021/136).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précité consid. 4.1.2 ; CCUR 25 octobre 2022/180 ; CCUR 2 août 2022/132 ; CCUR 17 juin 2021/136). 5.2 Le litige revêt un caractère international, si bien que la compétence des autorités suisses pour prononcer des mesures de protection de l’enfant doit être examinée. 5.2.1 L’art. 85 LDIP (loi fédérale sur le droit international privé du 18 décembre 1987 ; RS 291) prévoit qu'en matière de protection des enfants, la compétence des autorités judiciaires ou administratives</w:t>
      </w:r>
    </w:p>
    <w:p>
      <w:r>
        <w:t>- 6 -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1er février 2011 pour la France et applicable dans les relations entre ces deux États dès lors qu’ils l'ont signée et ratifiée (TF 5A_933/2020 du 14 avril 2021 consid. 1.1 ; TF 5A_496/2020 du 23 octobre 2020 consid. 1.1),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 5.2.2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TF 5A_21/2019 du 1er juillet 2019 consid. 5.1 et les réf. cit.). Il s'ensuit que, dans les relations entre États contractants, le changement (licite) de résidence habituelle du mineur entraîne un changement simultané de la compétence (TF 5A_496/2020 précité, ibid. ; TF 5A_21/2019 précité, ibid., et les réf. cit. ; TF 5A_293/2016 du 8 août 2016 consid. 3.1). Le transfert</w:t>
      </w:r>
    </w:p>
    <w:p>
      <w:r>
        <w:t>- 7 -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w:t>
      </w:r>
    </w:p>
    <w:p>
      <w:r>
        <w:rPr>
          <w:b/>
        </w:rPr>
        <w:t>E. 9</w:t>
      </w:r>
    </w:p>
    <w:p>
      <w:r>
        <w:t>octobre 2014 consid. 7.3 ; Dutoit/Bonomi, Droit international privé suisse, Commentaire de la loi fédérale du 18 décembre 1987, 6e éd., Bâle 2022, n. 23 ad art. 85 LDIP, pp. 394-395, et les réf. cit.).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 cit.).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 cit.).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et les réf. cit.). Un séjour de six mois crée en principe une résidence habituelle, mais celle-ci peut exister également sitôt après le changement du lieu de séjour, si, en raison d'autres facteurs, elle est destinée à être durable et à remplacer le</w:t>
      </w:r>
    </w:p>
    <w:p>
      <w:r>
        <w:t>- 8 - précédent centre d'intérêts (TF 5A_933/2020 précité, ibid. ; TF 5A_274/2016 précité, ibid. et les réf. cit. ; TF 5A_324/2014 précité, ibid. et les réf. cit.). 5.3 En l’espèce, le 7 avril 2023, l’enfant B.Z.________ a quitté la Suisse pour aller s’installer définitivement en France au domicile de sa mère, seule détentrice de l’autorité parentale ensuite de la décision de la justice de paix du 27 septembre 2022 confirmée en dernière instance par arrêt du Tribunal fédéral du 22 mars 2023. On relèvera que les démarches nécessaires en vue de la mise en œuvre d’un suivi thérapeutique en faveur de l’enfant ainsi que de sa future scolarité en France sont entreprises, un retour en Suisse n’étant pas envisageable. Au vu de ce qui précède et des décisions déjà rendues dans la présente affaire, il ne fait pas de doute que la résidence habituelle d’B.Z.________ a été transférée licitement en France chez l’intimée de manière durable dès son départ de Suisse. Partant, conformément à la jurisprudence précitée, ce changement de résidence habituelle entraîne simultanément un changement de compétence, de sorte que la Chambre de céans a perdu la compétence de statuer sur le recours. 6. Dès lors que cette incompétence découlant du déménagement de l’enfant le 7 avril 2023 est survenue postérieurement au dépôt du recours le 31 mars 2023, ledit recours est devenu sans objet. Il convient d’en prendre acte et de rayer la cause du rôle (cf. art. 242 CPC, applicable par renvoi de l'art. 450f CC ; Reusser, Basler Kommentar, Zivilgesetzbuch I, Art. 1-456 ZGB, 7e éd., Bâle 2022, n. 29 ad art. 450d CC, pp. 2962-2963 ; Tappy, Commentaire romand, Code de procédure civile, 2e éd., Bâle 2019, nn. 4 ss ad art. 242 CPC, pp. 1118 ss), ce qui en l’occurrence relève de la compétence de la Chambre des curatelles (art. 8 LVPAE et 76 al. 2 LOJV [Loi d'organisation judiciaire du 12 décembre 1979 ; BLV 173.01].</w:t>
      </w:r>
    </w:p>
    <w:p>
      <w:r>
        <w:t>- 9 - 7. Le présent arrêt peut être rendu sans frais judiciaires (art. 11 TFJC [tarif du 28 septembre 2010 des frais judiciaires civils ; BLV 270.11.5]), étant rappelé que des frais judiciaires par 200 fr. ont déjà été mis à la charge du recourant par ordonnance du 4 avril 2023 pour le rejet de sa requête de mesures superprovisionnelles et provisionnelles. L’intimée n’ayant pas été invitée à se déterminer, il n’y pas lieu à l’allocation de dépens. Par ces motifs, la Chambre des curatelles du Tribunal cantonal, statuant à huis clos, prononce : I. Le recours est sans objet. II. La cause est rayée du rôle. III. L’arrêt, rendu sans frais judiciaires de deuxième instance, est exécutoire. La présidente : Le greffier : Du</w:t>
      </w:r>
    </w:p>
    <w:p>
      <w:r>
        <w:t>- 10 - L'arrêt qui précède, dont la rédaction a été approuvée à huis clos, est notifié à : - Me Pascale Botbol (pour A.Z.________), - Me Isabelle Théron (pour R.________), - Direction générale de l’enfant et de la jeunesse, Office régional pour la protection des mineurs [...], et communiqué à : - Mme la Juge de paix du district de la Broye-Vully, - Me [...], ancien curateur ad hoc de représentation de l’enfant, - Direction générale de l’enfant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