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LR25.029634 vom 29. Oktober 2025</w:t>
      </w:r>
    </w:p>
    <w:p>
      <w:r>
        <w:t>VD Tribunal cantonal, 2025-10-29, FR</w:t>
      </w:r>
    </w:p>
    <w:p>
      <w:r>
        <w:rPr>
          <w:b/>
        </w:rPr>
        <w:t xml:space="preserve">Quelle: </w:t>
      </w:r>
      <w:r>
        <w:t>https://mcp.opencaselaw.ch/entscheid/vd_gerichte_LR25.029634</w:t>
      </w:r>
    </w:p>
    <w:p>
      <w:r>
        <w:t>FR: VD_GERICHTE LR25.029634 du 29 octobre 2025</w:t>
      </w:r>
    </w:p>
    <w:p>
      <w:r>
        <w:t>IT: VD_GERICHTE LR25.029634 del 29 ottobre 2025</w:t>
      </w:r>
    </w:p>
    <w:p>
      <w:pPr>
        <w:pStyle w:val="Heading2"/>
      </w:pPr>
      <w:r>
        <w:t>Erwägungen</w:t>
      </w:r>
    </w:p>
    <w:p>
      <w:r>
        <w:rPr>
          <w:b/>
        </w:rPr>
        <w:t>E. 3</w:t>
      </w:r>
    </w:p>
    <w:p>
      <w:r>
        <w:t>- 13 -</w:t>
      </w:r>
    </w:p>
    <w:p>
      <w:r>
        <w:rPr>
          <w:b/>
        </w:rPr>
        <w:t>E. 3.1</w:t>
      </w:r>
    </w:p>
    <w:p>
      <w:r>
        <w:t>Le recourant reproche à la juge de paix d’avoir restreint son droit de visite à deux fois par mois durant les deux heures sans possibilité de sortir des locaux du Point Rencontre sur la seule base des appréciations subjectives de l’intimée, dans un contexte où celle-ci met tout en œuvre depuis trois ans pour l’empêcher de partir l’été en vacances en [...] avec l’enfant, alors que tout se passait raisonnablement le reste de l’année. Le recourant conteste que son fils ne veuille plus le voir. Il considère que rien ne justifie l’instauration d’un droit de visite au Point Rencontre.</w:t>
      </w:r>
    </w:p>
    <w:p>
      <w:r>
        <w:rPr>
          <w:b/>
        </w:rPr>
        <w:t>E. 3.2.1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5A_498/2019 du 6 novembre 2019 consid. 4.2 ; 5A_334/2018 du 7 août 2018 consid. 3.1 ; 5A_184/2017 du 9 juin 2017 consid. 4.1 ; 5A_53/2017 du 23 mars 2017 consid. 5.1). L'importance et le mode d'exercice des relations personnelles doivent être appropriés à la situation, autrement dit tenir équitablement</w:t>
      </w:r>
    </w:p>
    <w:p>
      <w:r>
        <w:t>- 14 -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3.2.2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5A_663/2012 du 12 mars 2013 consid. 4.1, publié in</w:t>
      </w:r>
    </w:p>
    <w:p>
      <w:r>
        <w:t>- 15 - La pratique du droit de la famille [FamPra.ch] 2013 p. 806 ; 5A_172/2012 du 16 mai 2012 consid. 4.1.1, résumé in Revue de la protection des mineurs et des adultes [RMA] 2012, p. 300). Conformément au principe de proportionnalité, il importe en outre que cette menace ne puisse être écartée par d'autres mesures appropriées (ATF 131 III 209 consid. 5, JdT 2005 I 201 ; TF 5A_334/2018 du 7 août 2018 consid. 3.1 ; 5A_877/2013 du 10 février 2014 consid. 6.1 ; 5A_448/2008 du 2 octobre 2008 consid. 4.1).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5A_23/2020 du 3 juin 2020 consid. 4 ; 5A_266/2019 du</w:t>
      </w:r>
    </w:p>
    <w:p>
      <w:r>
        <w:rPr>
          <w:b/>
        </w:rPr>
        <w:t>E. 3.2.3</w:t>
      </w:r>
    </w:p>
    <w:p>
      <w:r>
        <w:t>Selon l’art. 445 al. 1 CC, applicable en matière de protection de l’enfant par renvoi de l’art. 314 al. 1 CC, l’autorité de protection prend, d’office ou sur demande d’une partie, toutes les mesures provisionnelles nécessaires pendant la durée de la procédure. Elle peut notamment ordonner une mesure de protection à titre provisoire, en particulier la fixation provisoire des relations personnelles (Guide pratique COPMA 2017, op. cit.,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op. cit.,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3.3</w:t>
      </w:r>
    </w:p>
    <w:p>
      <w:r>
        <w:t>En l’espèce, il est incontesté que, le 12 juillet 2025, le droit de visite n’a pas pu s’exercer comme prévu par l’ordonnance de mesures superprovisionnelles du 10 juillet précédent parce que l’enfant, que son père avait menacé de ne plus revenir s’il ne partait pas avec lui, s’est mis à pleurer, de peur que son père ne le ramène pas et de crainte que celui-ci s’en prenne à sa grand-mère maternelle. Il est sans importance, en l’état,</w:t>
      </w:r>
    </w:p>
    <w:p>
      <w:r>
        <w:t>- 17 - que les craintes de l’enfant aient été fondées ou infondées, ou qu’elles lui aient été inspirées par un comportement ou des propos de son père ou par le comportement ou des propos de tiers. Il importe seulement de constater que, dans la situation qui prévalait le 12 juillet 2025, l’exercice du droit de visite prévu par l’ordonnance de mesures superprovisionnelles du 10 juillet 2025 a constitué une épreuve insupportable pour l’enfant et qu’il ne peut dès lors pas être maintenu tel quel. Il résulte également du dossier que l’enfant avait déjà auparavant manifesté un mal-être notable en lien avec le droit de visite. Il avait commencé par refuser d’aller dormir chez son père, puis ne voulait plus du tout partir avec lui, manifestant beaucoup d’anxiété avant le droit de visite prévu et au moment des passages. Lors de ceux-ci, l’enfant a parfois été exposé à des échanges tendus entre ses parents. Le mineur n’avait d’ailleurs plus vu son père depuis le 27 juin 2025, ayant refusé d’aller chez lui. Entendu par la juge de paix, l’enfant a exprimé avoir peur de son père. Comme l’a exposé en d’autres termes la juge de paix dans les motifs de la décision attaquée, l’instauration d’un droit de visite médiatisé au Point Rencontre, qui évite aux deux parents de se croiser et qui, au cours des deux premières séances voire plus longtemps si la durée des visites est durablement limitée à deux heures, met en place une surveillance en temps réel du déroulement du droit de visite, est de nature à rassurer B.V.________ et à lui permettre de maintenir le lien avec son père sans craindre d’être « enlevé » ou de devoir assister à des disputes entre ses parents. Sur le principe, l’instauration d’un Point Rencontre doit dès lors être confirmée. Cela étant, on ne discerne pas de motif qui justifierait, du point de vue de la protection de l’enfant, que le droit de visite s’exerce à l’intérieur des locaux au-delà d’une période de quelques mois, nécessaire pour amorcer une reprise du lien père-fils dans un environnement sécurisant pour le mineur. Dans sa réponse au recours, l’intimée indique d’ailleurs elle-même que la mise en place du Point Rencontre est une mesure provisoire visant « à rassurer l’enfant, afin de permettre un élargissement du droit de visite ». En outre, le 12 juillet 2025, lorsque B.V.________ a pleuré, le recourant a, au bout de 4 minutes, décidé de le ramener auprès de sa mère : s’il avait eu l’intention d’enlever l’enfant ou</w:t>
      </w:r>
    </w:p>
    <w:p>
      <w:r>
        <w:t>- 18 - d’user sur lui d’une contrainte disproportionnée, il n’aurait pas agi de cette manière. L’enfant, si sa mère veut bien le lui expliquer, devoir pouvoir le comprendre. En tout état de cause, les intervenants de Point Rencontre, au moment de l’accueil, devraient pouvoir le rassurer. Quant aux publications du recourant sur les réseaux sociaux, elles n’étaient pas destinées à l’enfant. Dans ces conditions, rien ne s’oppose, du point de vue de l’intérêt supérieur de l’enfant, au fait de prévoir dès à présent un élargissement progressif des modalités d’exercice du droit de visite père- fils au Point Rencontre, afin que celui-ci puisse évoluer, par étapes, après quelques mois et sans attendre le rapport de l’UEMS ni nécessiter une nouvelle décision de l’autorité de protection, vers un droit de visite pouvant s’exercer à l’extérieur des locaux durant trois heures, puis à l’extérieur pour une durée augmentée à six heures. En conséquence, le recours doit être partiellement admis dans cette mesure. L’ordonnance attaquée est réformée en ce sens que, jusqu’à la décision qui sera prise sur le vu du rapport d’évaluation de l’UEMS et sous réserve de faits nouveaux justifiant une modification entre- temps, le droit de visite du recourant s’exercera, par l’intermédiaire du Point Rencontre, pendant deux heures à l’intérieur des locaux exclusivement jusqu’à la fin du mois de novembre 2025, puis pendant trois heures avec l’autorisation de sortir des locaux jusqu’à la fin du mois de février 2026, et ensuite pendant six heures avec l’autorisation de sortir des locaux. 4. 4.1 En conclusion, le recours est partiellement admis et l’ordonnance entreprise réformée au chiffre IV de son dispositif dans le sens de ce qui précède. Elle est confirmée pour le surplus. 4.2</w:t>
      </w:r>
    </w:p>
    <w:p>
      <w:r>
        <w:t>- 19 - 4.2.1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breveté et de 110 fr. pour un avocat stagiaire (art. 2 al. 1 let. a et b RAJ). 4.2.2 Par décision du 14 août 2025, l’assistance judiciaire complète a été octroyée au recourant pour la présente procédure, avec effet au 30 juillet 2025, et Me Véronique Fontana a été désigné comme conseil d’office. En cette qualité, Me Véronique Fontana a droit à une rémunération équitable pour ses opérations et débours dans la présente procédure. Dans sa liste des opérations du 26 septembre 2025, le conseil précité annonce avoir consacré 5 heures et 50 minutes à cette affaire, pour la période du 30 juillet au 23 septembre 2025. Le temps annoncé apparaît adéquat et peut dès lors être admis, de sorte qu’il n’y a pas lieu de s’écarter du décompte produit par l’avocate, hormis s’agissant des débours forfaitaires, qui sont fixés à 2% en deuxième instance et non à 5% comme requis (art. 3bis al. 1 RAJ). Il s’ensuit qu’au tarif horaire de 180 fr. pour un avocat breveté (art. 2 al. 1 let. a RAJ), l’indemnité de Me Véronique Fontana peut être fixée à 1'157 fr. 75, soit 1'050 fr. à titre</w:t>
      </w:r>
    </w:p>
    <w:p>
      <w:r>
        <w:t>- 20 - d’honoraires (5,83h x 180), 21 fr. de débours forfaitaires (2 % de 1'050), et 86 fr. 75 (8.1 % de 1'071) de TVA sur le tout (art. 2 al. 3 RAJ ; art. 25 al. 1 LTVA [loi fédérale du 12 juin 2009 régissant la taxe sur la valeur ajoutée ; RS 641.20]). 4.3 Les frais judiciaires de deuxième instance, arrêtés à 600 fr. (art. 74a al. 1 TFJC [tarif du 28 septembre 2010 des frais judiciaires civils ; BLV 270.11.5]), sont mis à la charge du recourant et de l’intimée, par moitié entre eux, dès lors que chaque partie succombe partiellement (art. 106 al. 2 CPC, applicable par renvoi des art. 314 al. 1 et 450f CC ainsi que 12 al. 1 LPVAE). La part des frais du recourant sera provisoirement laissée à la charge de l’Etat, dans le cadre de l’assistance judiciaire. Vu le sort de la cause, les dépens de deuxième instance sont compensés, de sorte qu’il n’y a pas lieu d’en allouer. 4.4 Le bénéficiaire de l’assistance judiciaire A.V.________, sera tenu au remboursement des frais judiciaires et de l’indemnité allouée à son conseil d’office, provisoirement laissés à la charge de l’Etat, dès qu’il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partiellement admis.</w:t>
      </w:r>
    </w:p>
    <w:p>
      <w:r>
        <w:t>- 21 - II. L’ordonnance de mesures provisionnelles rendue le 28 juillet 2025 par la Juge de paix du district de la Riviera – Pays- d’Enhaut est réformée au chiffre IV de son dispositif, comme il suit : IV. dit que, jusqu’à la décision qui sera prise sur le vu du rapport d’évaluation de l’UEMS et sous réserve de faits nouveaux justifiant une modification entre-temps, A.V.________ exercera son droit de visite sur B.V.________ par l’intermédiaire de Point Rencontre deux fois par mois : - pendant deux heures à l’intérieur des locaux exclusivement jusqu’à la fin du mois de novembre 2025, - puis pendant trois heures avec l’autorisation de sortir des locaux jusqu’à la fin du mois de février 2026, - puis pendant six heures avec l’autorisation de sortir des locaux, en fonction du calendrier d’ouverture et conformément au règlement et aux principes de fonctionnement de Point Rencontre, qui sont obligatoires pour les deux parents ; L’ordonnance est confirmée pour le surplus. III. Les frais judiciaires de deuxième instance, arrêtés à 600 fr. (six cents francs), sont mis par 300 fr. (trois cents francs) à la charge de l’intimée R.________ et par 300 fr. (trois cents francs) à la charge du recourant A.V.________, la part de ce dernier étant provisoirement laissée à la charge de l’Etat. IV. Les dépens de deuxième instance sont compensés. V. L’indemnité due à Me Véronique Fontana, conseil d’office du recourant A.V.________, est arrêtée à 1'157 fr. 75 (mille cent cinquante-sept francs et septante-cinq centimes), débours et TVA compris. VI. Le bénéficiaire de l’assistance judiciaire A.V.________ sera, dans la mesure de l’art. 123 CPC, tenu au remboursement des frais judiciaires et de l’indemnité allouée à son conseil d’office, laissés provisoirement à la charge de l’Etat.</w:t>
      </w:r>
    </w:p>
    <w:p>
      <w:r>
        <w:t>- 22 - VII. L'arrêt est exécutoire. La présidente : La greffière : Du L'arrêt qui précède, dont la rédaction a été approuvée à huis clos, est notifié à : - Me Véronique Fontana (pour A.V.________), - Me Lise-Marie Gonzalez Pennec (pour R.________), - Direction générale de l’enfance et de la jeunesse, Unité évaluation et missions spécifiques, - Fondation Jeunesse et Familles, Point Rencontre, et communiqué à : - Mme la Juge de paix du district de la Riviera – Pays-d’Enhaut,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août 2019 consid. 3.3.1 ; 5A_111/2019 du 9 juillet 2019 consid. 2.3 ; 5A_210/2018 du 14 décembre 2018 consid. 2.1). En revanche, si le préjudice engendré pour l'enfant par les relations personnelles peut être limité par la mise en œuvre d'un droit de visite surveillé ou accompagné, le droit de la personnalité du parent non-gardien, le principe de la proportionnalité, mais également le sens et le but des relations personnelles, interdisent la suppression complète de ce droit (ATF 122 III 404 consid. 3c ; TF 5A_177/2022 du 14 septembre 2022 consid. 3.1.1 ; 5A_334/2018 du 7 août 2018 consid. 3.1 ; 5A_699/2017 du 24 octobre 2017 consid. 5.1 ; 5A_184/2017 du 9 juin 2017 consid. 4.1 et les références citées). L'établissement d'un droit de visite surveillé nécessite des indices concrets de mise en danger du bien de l’enfant. Il ne suffit pas que celui-ci risque abstraitement de subir une mauvaise influence pour qu'un droit de visite surveillé soit instauré. Dès lors, il convient de faire preuve d’une certaine retenue lors du choix de cette mesure (TF 5A_759/2024 du 20 mars 2024 consid. 4.1.2.1 ; 5A_334/2018 du 7 août 2018 consid. 3.1 ; 5A_699/2017 du 24 octobre 2017 consid. 5.7 ; 5A_401/2014 du 18 août 2014 consid. 3.2.2 et la jurisprudence citée ; Meier/Stettler, op. cit., nn. 790 ss, pp. 521 ss). L’une des modalités particulières à laquelle il est envisageable de subordonner l’exercice du droit de visite, par une application conjointe des art. 273 al. 2 et 274 al. 2</w:t>
      </w:r>
    </w:p>
    <w:p>
      <w:r>
        <w:t>- 16 - CC, peut ainsi consister en l'organisation des visites, avec ou sans curatelle de surveillance, dans un lieu protégé spécifique, tel un Point Rencontre ou une autre institution analogue (TF 5A_184/2017 du 9 juin 2017 consid. 4.1). Pour fixer le droit aux relations personnelles, le juge fait usage de son pouvoir d’appréciation (art. 4 CC ; ATF 131 III 209 consid. 3 ; 120 II 229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