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LR21.046677 vom 26. Juli 2022</w:t>
      </w:r>
    </w:p>
    <w:p>
      <w:r>
        <w:t>VD Tribunal cantonal, 2022-07-26, FR</w:t>
      </w:r>
    </w:p>
    <w:p>
      <w:r>
        <w:rPr>
          <w:b/>
        </w:rPr>
        <w:t xml:space="preserve">Quelle: </w:t>
      </w:r>
      <w:r>
        <w:t>https://mcp.opencaselaw.ch/entscheid/vd_gerichte_LR21.046677</w:t>
      </w:r>
    </w:p>
    <w:p>
      <w:r>
        <w:t>FR: VD_GERICHTE LR21.046677 du 26 juillet 2022</w:t>
      </w:r>
    </w:p>
    <w:p>
      <w:r>
        <w:t>IT: VD_GERICHTE LR21.046677 del 26 luglio 2022</w:t>
      </w:r>
    </w:p>
    <w:p>
      <w:pPr>
        <w:pStyle w:val="Heading2"/>
      </w:pPr>
      <w:r>
        <w:t>Erwägungen</w:t>
      </w:r>
    </w:p>
    <w:p>
      <w:r>
        <w:rPr>
          <w:b/>
        </w:rPr>
        <w:t>E. 17</w:t>
      </w:r>
    </w:p>
    <w:p>
      <w:r>
        <w:t>mars 2020. N’ayant pu les voir comme il l’entendait, le recourant a encore refusé tout contact avec ses enfants jusqu’à récemment, coupant de lui-même les liens pendant plusieurs mois parce que les modalités des visites ne lui convenaient pas. Compte tenu de ces circonstances, sa volonté de collaborer, toute récente, ne paraît dès lors être qu’un prononcé d’intention et son argument, qui n’est qu’un prétexte, doit être rejeté. Les principes de proportionnalité et de subsidiarité ne signifient pas que l’on doive d'abord tenter une mesure légère et, si elle ne suffit pas, une plus grave et ainsi de suite. Il s'agit d'évaluer la situation pour déterminer laquelle est nécessaire et suffisante. Or, avant que de suspendre les visites au domicile paternel, la curatrice, avec le concours des éducateurs du foyer, avaient tenté de mettre en place une mesure de transition au sein du foyer destinée à rassurer les enfants. Le recourant n’y a pas collaboré et l’a tenue en échec, à l’instar de son refus ultérieur de collaborer dans le cadre du droit de visite médiatisé qui lui a été</w:t>
      </w:r>
    </w:p>
    <w:p>
      <w:r>
        <w:t>- 28 - proposé. Par ses revendications et son opposition à des visites médiatisées, le recourant a démontré une nouvelle fois qu’il n’était en l’état pas en mesure de comprendre ni de prioriser le besoin de ses enfants d’être rassurés dans la durée, alors que l’un d’eux au moins a exprimé clairement le fait que le cadre du foyer lors des visites le rassurait. Il semble que du moment qu’il n’a pas maltraité ses enfants en les violentant physiquement, le recourant ne peut concevoir que sa violence, a minima verbale et sous forme de harcèlement de leur mère, dont ses enfants ont été les témoins directs de façon répétée, constitue un facteur d’angoisse qu’il convient de prendre en compte et d’apaiser progressivement. Le recourant tente bien plus d’imposer ses vues et d’obtenir coûte que coûte un nouvel élargissement des visites, le cas échéant en menaçant les intervenants, même si l’ensemble de ceux-ci considère que cela n’est en l’état pas compatible avec le bien-être d’E.P.________ et F.P.________. Il n’y a en définitive pas, dans de telles circonstances, de place pour une violation du principe de proportionnalité, le recourant ayant lui- même, par son comportement oppositionnel et buté, tenu en échec les mesures tentées pour préserver les relations personnelles externes. Au surplus, il se justifie, au vu de l’ensemble des circonstances de l’espèce, de surseoir au moins jusqu’au résultat de l’expertise pédopsychiatrique et du bilan qui pourra être retiré de l’exercice des quatre à six premières visites médiatisées. Il convient à ce titre de constater que, même si l’état de santé des enfants prénommés semble s’être amélioré depuis le mois de novembre 2021, les professionnels préconisent toujours le maintien d’un droit de visite médiatisé afin de garantir leur protection. Or, le père, qui souhaite obtenir un élargissement de son droit de visite, ne se remet pas en question et refuse de se conformer aux modalités préconisées par les professionnels. En particulier, l’argument selon lequel les visites médiatisées ne sont pas d’emblées limitées dans le temps est tenu en échec par la nature du mandat conféré à la curatrice, qui a pour mission de veiller au rétablissement d’un lien progressif et durable des enfants avec leur père, notamment, et qui jouit de la latitude nécessaire à cet égard, de sorte que si les visites médiatisées se passent bien, il n’y a pas</w:t>
      </w:r>
    </w:p>
    <w:p>
      <w:r>
        <w:t>- 29 - de raison de penser que ces visites ne pourraient être à nouveau élargies, en fonction des besoins des enfants, qui seront pris en compte avant ceux du recourant. Au vu de ce qui précède, c’est dès lors à juste titre que le premier juge a rejeté les conclusions s’agissant de l’exercice du droit de visite du recourant. 4. En conclusion, le recours doit être rejeté et la décision entreprise confirmée. Au vu du sort de la cause, le recours était d'emblée dénué de chances de succès, de sorte que la requête d'assistance judiciaire du recourant doit être rejetée (art. 117 let. b CPC). En effet, le recours s'avère manifestement infondé au sens de l'art. 312 al. 1 CPC (applicable par renvoi des art. 450f CC et 20 al. 1 LVPAE) à partir du moment où l'intérêt des enfants, supérieur à la demande du père, ne pouvait que conduire à son rejet. Les frais judiciaires de deuxième instance sont arrêtés à 600 fr. (art. 74a al. 1 TFJC [Tarif du 28 septembre 2010 des frais judiciaires civils ; BLV 270.11.5]) et, compte tenu du rejet de la requête d’assistance judiciaire, mis à la charge du recourant, qui succombe (art. 106 al. 1 CPC, applicable par renvoi de l’art. 450f CC). Il n’est pas alloué de dépens, l’intimée n’ayant pas été invitée à se déterminer.</w:t>
      </w:r>
    </w:p>
    <w:p>
      <w:r>
        <w:t>- 30 - Par ces motifs, la Chambre des curatelles du Tribunal cantonal, statuant à huis clos, prononce : I. Le recours est rejeté. II. La décision est confirmée. III. La requête d’assistance judiciaire est rejetée. IV. Les frais judiciaires de deuxième instance, arrêtés à 600 fr. (six cents francs), sont mis à la charge du recourant F.________. V. L'arrêt est exécutoire La présidente : La greffière : Du L'arrêt qui précède, dont la rédaction a été approuvée à huis clos, est notifié à : - Me Raphaël Guisan, avocat (pour F.________), - Mme B.P.________, - SCTP, à l’att. de Mme R.________, - Foyer M.________, et communiqué à : - Mme la Juge de paix du district de Nyon,</w:t>
      </w:r>
    </w:p>
    <w:p>
      <w:r>
        <w:t>- 31 -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