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LR19.056952 vom 6. Oktober 2021</w:t>
      </w:r>
    </w:p>
    <w:p>
      <w:r>
        <w:t>VD Tribunal cantonal, 2021-10-06, FR</w:t>
      </w:r>
    </w:p>
    <w:p>
      <w:r>
        <w:rPr>
          <w:b/>
        </w:rPr>
        <w:t xml:space="preserve">Quelle: </w:t>
      </w:r>
      <w:r>
        <w:t>https://mcp.opencaselaw.ch/entscheid/vd_gerichte_LR19.056952</w:t>
      </w:r>
    </w:p>
    <w:p>
      <w:r>
        <w:t>FR: VD_GERICHTE LR19.056952 du 6 octobre 2021</w:t>
      </w:r>
    </w:p>
    <w:p>
      <w:r>
        <w:t>IT: VD_GERICHTE LR19.056952 del 6 ottobre 2021</w:t>
      </w:r>
    </w:p>
    <w:p>
      <w:pPr>
        <w:pStyle w:val="Heading2"/>
      </w:pPr>
      <w:r>
        <w:t>Erwägungen</w:t>
      </w:r>
    </w:p>
    <w:p>
      <w:r>
        <w:rPr>
          <w:b/>
        </w:rPr>
        <w:t>E. 12</w:t>
      </w:r>
    </w:p>
    <w:p>
      <w:r>
        <w:t>août 2014 et proposer d’autres mesures de protection si la situation du mineur devait se péjorer. Statuant sur le recours interjeté par le père à l’encontre du jugement précité, la Chambre des curatelles a considéré, par arrêt du 10 septembre 2015, que M.________ avait démontré qu’elle se souciait de son fils et s’impliquait dans son rôle de mère, qu’elle entretenait de bonnes relations avec ce dernier, envers lequel elle se montrait affectueuse, et qu’elle acceptait la prise en charge thérapeutique de L.________, reconnaissant ainsi ses difficultés. Elle a indiqué que le SPJ avait certes affirmé que la mère était peu adéquate en ce sens qu’elle était trop protectrice et laissait peu de place à l’autonomie de son fils, mais que la curatelle d’assistance éducative instituée par les premiers juges permettrait justement à un tiers d’intervenir et de soutenir l’enfant dans son milieu de vie. Elle a considéré que si le conflit parental était</w:t>
      </w:r>
    </w:p>
    <w:p>
      <w:r>
        <w:t>- 30 - clairement perceptible, aucun élément au dossier ne permet de retenir que M.________ serait inadéquate au point qu’un retrait de l’autorité parentale se justifierait. Par ailleurs, la mère n’a pas adopté une attitude fermée par le passé s’agissant du droit aux relations personnelles du père. En effet les 22 janvier 2013 et 31 janvier 2018, les parties ont passé des conventions fixant le droit de visite du recourant, lesquelles ont pour l’essentiel été respectées. Partant, il n’y a pas de raison d’ordonner une évaluation par l’UEMS ou une expertise pédopsychiatrique. 4.3 Le recourant demande qu’une nouvelle thérapie familiale soit ordonnée. Il affirme que si la thérapie mise en place auprès du cabinet du Dr J.________ ensuite de l’ordonnance de mesures provisionnelles du 11 mars 2020 n’a pas été concluante, « faute de lien de confiance réciproque », cela ne signifie pas qu’il faille s’arrêter à cette première tentative. Il se dit prêt à s’investir dans une thérapie père-fils auprès de thérapeutes compétents, à l’image de ceux qui œuvrent au sein des Boréales. Au vu du délai d’attente, il estime qu’il faudrait déjà l’ordonner au stade de la procédure de recours. La thérapie auprès du cabinet du Dr J.________ n’a certes pas été un succès. Le recourant en est toutefois le premier responsable. En effet, il ne conçoit la thérapie que comme une possibilité de voir son fils pour lui « parler en face », sans se rendre compte que ses exigences constituent des pressions insoutenables pour l’enfant. En outre, il ressort du rapport médical du Dr J.________, d’I.________ et de C.________ du 1er septembre 2020 qu’E.________ refuse tout suivi individuel, alors qu’il devrait se remettre en question. De plus, L.________, qui est toujours suivi par le Dr J.________, ne veut pas, en l’état, voir son père. Or, il a treize ans et il devient difficile de lui imposer des contacts non souhaités. Cette mesure d’instruction doit par conséquent être rejetée. Le recourant est encouragé à entreprendre une thérapie personnelle.</w:t>
      </w:r>
    </w:p>
    <w:p>
      <w:r>
        <w:t>- 31 - 5. Le recourant conteste la suspension de son droit de visite pour une durée indéterminée. Il soutient que la situation s’est dégradée parce que la mère a pris des libertés avec le droit de visite tel qu’il avait été convenu en 2018, ce qui a exacerbé les tensions parentales et lui a fait ressentir un sentiment d’injustice au point de perdre son sang-froid à quelques reprises, ce qu’il regrette. Il relève que si son fils a certes manifesté devant certains praticiens des angoisses et du stress à l’idée de le voir, il ne s’est jamais plaint des conditions d’exercice du droit de visite et n’a jamais rapporté des faits de violence physique à son égard ou des épisodes donnant à penser que son bien ou son développement seraient mis en danger par des contacts, même médiatisés, avec son père. Il reproche aux premiers juges de ne pas avoir tenu compte des déclarations du témoin T.________, sans en expliquer les motifs. Il ajoute que les propos qu’il a tenus à l’égard de différents intervenants sous le coup de l’énervement ont fait perdre de vue aux magistrats précités que des visites médiatisées, par exemple via Espace Contact ou Accord Famille, pouvaient être ordonnées ou d’autres solutions trouvées, par exemple grâce à un thérapie familiale. 5.1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w:t>
      </w:r>
    </w:p>
    <w:p>
      <w:r>
        <w:t>- 32 -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w:t>
      </w:r>
    </w:p>
    <w:p>
      <w:r>
        <w:t>- 33 -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w:t>
      </w:r>
    </w:p>
    <w:p>
      <w:r>
        <w:t>- 34 -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5.2 En l’espèce, par ordonnance de mesures provisionnelles du 11 mars 2020, le juge de paix a suspendu le droit de visite du recourant en raison des messages très agressifs que ce dernier avait envoyés à son fils et du fait que l’enfant manifestait des craintes et des angoisses en lien avec les visites chez son père, faisait des cauchemars et des insomnies et somatisait. Or, aux dires des intervenants et de la mère, L.________ va mieux depuis la suspension de ce droit. La colère du recourant à l’égard de la mère, à supposer fondée, ne justifie pas qu’il agresse psychologiquement son fils et le considère comme un « traitre ». E.________ ne semble pas concevoir que la maltraitance puisse être psychologique et que les besoins de son fils priment les siens. Une thérapie familiale a été tentée afin de rétablir le lien père-fils, mais s’est soldée par un échec. Or, il est à craindre qu’une nouvelle tentative se passe à nouveau mal compte tenu de la position du recourant, qui exige</w:t>
      </w:r>
    </w:p>
    <w:p>
      <w:r>
        <w:t>- 35 - d’emblée la présence de L.________, pour qu’il lui parle « en face ». Il en va de même des visites médiatisées. En effet, lors d’une rencontre devant les thérapeutes, le père n’a pas réussi à se contrôler et a à nouveau traumatisé son fils. De plus, lors de l’audience du 9 mars 2021, le recourant ne s’est nullement remis en question. Il a fait part de son incompréhension face à la situation et a déclaré qu’il ne pouvait pas croire que L.________ ait peur de lui. Enfin, E.________ accuse de parti pris tous ceux qui ne vont pas dans son sens. Il résulte de ce qui précède que la suspension du droit de visite du père est justifiée et que la décision entreprise doit être confirmée, étant précisé que la procédure pourra toujours être reprise s’il y a des éléments nouveaux. La Chambre de céans encourage le recourant à montrer à son fils, en lui envoyant par exemple des lettres, qu’il a changé et qu’il comprend et se soucie de ses besoins émotionnels, de façon à lui donner envie de renouer des liens avec lui. 6. Le recourant conteste les dépens mis à sa charge. Il reproche aux premiers juges d’avoir retenu que « l’existence de la présente procédure est due essentiellement au comportement adopté par lui (réd.) ». Il invoque une inexactitude dans l’établissement des faits. Il affirme que c’est la mère qui entrave ses contacts avec son fils et relève qu’elle n’a pas entièrement obtenu gain de cause dans la procédure au fond. Il soutient que l’art. 3 TDC (Tarif des dépens en matière civile du 23 novembre 2010 ; BLV 270.11.6) n’a pas été appliqué correctement. Il déclare que le fait qu’il doive payer des dépens « comme s’il avait intégralement succombé » n’est pas « de nature à dissiper son (réd.) profond sentiment d’injustice ». 6.1 Selon l’art. 106 CPC, les frais sont mis à la charge de la partie succombante (al. 1). Lorsqu’aucune des parties n’obtient entièrement gain de cause, les frais sont répartis selon le sort de la cause (al. 2 CPC).</w:t>
      </w:r>
    </w:p>
    <w:p>
      <w:r>
        <w:t>- 36 - 6.2 Les conclusions de M.________ tendant à ce qu’interdiction soit faite au père de s’approcher de son fils ou à l’école de le renseigner n’ont certes pas été admises. Elles n’ont toutefois été prises qu’à l’audience du 9 mars 2021 et n’ont pas fait l’objet d’une instruction, si ce n’est les déclarations des parties à dite audience. L’essentiel de la procédure a concerné la suspension du droit de visite du recourant, qui a été confirmée. Or, c’est bien E.________, par son agressivité vis-à-vis de son fils, qui a provoqué cette procédure. De plus, les éventuelles fautes de la mère ne justifient aucunement que le père soit en colère contre l’enfant. C’est donc à juste titre que les premiers juges ont condamné le recourant à payer des dépens, qui pouvaient aller de 600 à 50'000 fr. (art. 9 TDC). 2'500 fr. représentent, une fois la TVA et les débours déduits, moins de 10 heures à un tarif horaire de 250 fr., ce qui est modeste. 7. En conclusion, le recours d’E.________ doit être rejeté et la décision entreprise confirmée. Au vu du sort de la cause, le recours était d'emblée dénué de chances de succès, de sorte que la requête d'assistance judiciaire du recourant doit être rejetée (art. 117 let. b CPC). En effet, le recours s’avère manifestement infondé dès lors que l’intérêt de l’enfant, supérieur à celui du père, ne pouvait que conduire au rejet. Le présent arrêt peut être rendu sans frais judiciaires (art. 74a al. 4 TFJC [Tarif du 28 septembre 2010 des frais judiciaires civils ; BLV 270.11.5]).</w:t>
      </w:r>
    </w:p>
    <w:p>
      <w:r>
        <w:t>- 37 - Par ces motifs, la Chambre des curatelles du Tribunal cantonal, statuant à huis clos, prononce : I. Le recours est rejeté. II. La décision est confirmée. III. La requête d’assistance judiciaire est rejetée. IV. L'arrêt, rendu sans frais judiciaires de deuxième instance, est exécutoire. Le président : La greffière : Du L'arrêt qui précède, dont la rédaction a été approuvée à huis clos, est notifié à : - Me Christophe Borel (pour E.________), - Me Séverine Berger (pour M.________), et communiqué à : - Mme la Juge de paix du district de Lausanne, par l'envoi de photocopies. Le présent arrêt peut faire l'objet d'un recours en matière civile devant le Tribunal fédéral au sens des art. 72 ss LTF (loi du 17 juin</w:t>
      </w:r>
    </w:p>
    <w:p>
      <w:r>
        <w:t>- 38 - 2005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