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LR19.008571 vom 14. Mai 2020</w:t>
      </w:r>
    </w:p>
    <w:p>
      <w:r>
        <w:t>VD Tribunal cantonal, 2020-05-14, FR</w:t>
      </w:r>
    </w:p>
    <w:p>
      <w:r>
        <w:rPr>
          <w:b/>
        </w:rPr>
        <w:t xml:space="preserve">Quelle: </w:t>
      </w:r>
      <w:r>
        <w:t>https://mcp.opencaselaw.ch/entscheid/vd_gerichte_LR19.008571</w:t>
      </w:r>
    </w:p>
    <w:p>
      <w:r>
        <w:t>FR: VD_GERICHTE LR19.008571 du 14 mai 2020</w:t>
      </w:r>
    </w:p>
    <w:p>
      <w:r>
        <w:t>IT: VD_GERICHTE LR19.008571 del 14 maggio 2020</w:t>
      </w:r>
    </w:p>
    <w:p>
      <w:pPr>
        <w:pStyle w:val="Heading2"/>
      </w:pPr>
      <w:r>
        <w:t>Erwägungen</w:t>
      </w:r>
    </w:p>
    <w:p>
      <w:r>
        <w:rPr>
          <w:b/>
        </w:rPr>
        <w:t>E. 5</w:t>
      </w:r>
    </w:p>
    <w:p>
      <w:r>
        <w:t>mars au 2 juillet 2019 au Centre [...] et rapporté que lors d’une séance individuelle, l’enfant lui avait montré ses parties intimes en disant « mimita bobo ». Dès lors qu’il semblait que Point Rencontre avait permis un apaisement chez A.L.________ en diminuant une forme d’excitation psychique et physique, la Dre R.________ estimait préférable d’y poursuivre l’exercice du droit de visite afin de donner un cadre protecteur et sécurisant à l’enfant. Dans un rapport complémentaire du 5 décembre 2019, le SPJ a relevé que l’enfant n’avait pas la « sérénité maximale » du fait d’une communication péjorée entre parents et qu’elle présentait des comportements qui interpellaient, mais dont personne ne connaissait clairement la cause. Bien qu’il y eût une amélioration globale constatée par la Dre R.________, il préconisait le maintien du droit de visite à Point Rencontre tel que mis en place puis, après une phase d’évaluation, l’organisation de visites médiatisées dans un cadre tel qu’Espace Contact. Il recommandait également un suivi de soutien à la parentalité pour le père, la poursuite du suivi de l’enfant chez la Dre R.________ et l’institution d’un mandat de surveillance éducative au sens de l’art. 307 al. 1 CC afin de vérifier la mise en place et la poursuite de ces modalités. Par courrier à la juge de paix du 9 décembre 2019, la Dre R.________ s’est référée à son rapport précité, notant que la psychothérapie individuelle était bien investie par A.L.________ et lui permettait de développer plus de sécurité interne. Elle ajoutait qu’elle avait récemment rencontré l’enseignante de A.L.________, selon laquelle la fillette était depuis la rentrée scolaire d’octobre davantage dans l’opposition et dans le conflit et avait encore besoin de beaucoup d’étayage pour entreprendre les activités scolaires. Parallèlement à ces observations, la mère de A.L.________ avait remarqué chez sa fille une</w:t>
      </w:r>
    </w:p>
    <w:p>
      <w:r>
        <w:t>- 11 - recrudescence des réveils nocturnes, des cauchemars et des terreurs. L’état de l’enfant étant fluctuant et lié à une profonde insécurité interne, la thérapeute préconisait la poursuite du droit de visite du père dans un espace protégé tel que Point Rencontre afin d’offrir un cadre protecteur et sécurisant pour l’enfant.</w:t>
      </w:r>
    </w:p>
    <w:p>
      <w:r>
        <w:rPr>
          <w:b/>
        </w:rPr>
        <w:t>E. 5.1</w:t>
      </w:r>
    </w:p>
    <w:p>
      <w:r>
        <w:t>En conclusion, le recours est rejeté et la décision entreprise confirmée.</w:t>
      </w:r>
    </w:p>
    <w:p>
      <w:r>
        <w:rPr>
          <w:b/>
        </w:rPr>
        <w:t>E. 5.2</w:t>
      </w:r>
    </w:p>
    <w:p>
      <w:r>
        <w:t>Les conditions de l’art. 117 CPC n’étant pas réunies au vu de l’issue du recours, la requête d’assistance judiciaire de T.________ doit être rejetée. Les frais judiciaires de deuxième instance, arrêtés à 300 fr. (art. 74a al. 1 TFJC [tarif du 28 septembre 2010 des frais judiciaires civils ;</w:t>
      </w:r>
    </w:p>
    <w:p>
      <w:r>
        <w:t>- 22 - BLV 270.11.5]), doivent être mis à la charge du recourant qui succombe (art. 106 al. 1 CPC, applicable par renvoi de l’art. 450f CC). Par ces motifs, la Chambre des curatelles du Tribunal cantonal, statuant à huis clos, prononce : I. Le recours est rejeté. II. L’ordonnance est confirmée. III. La requête d’assistance judiciaire est rejetée. IV. Les frais judiciaires de deuxième instance, arrêtés à 300 fr. (trois cents francs), sont mis à la charge du recourant T.________. V. L’arrêt est exécutoire. Le président : La greffière : Du</w:t>
      </w:r>
    </w:p>
    <w:p>
      <w:r>
        <w:t>- 23 - L'arrêt qui précède, dont la rédaction a été approuvée à huis clos, est notifié à : - Me Quentin Beausire (pour T.________), - Me Isabelle Jaques (pour B.L.________), - Fondation Jeunesse et Familles, Point Rencontre Nord, Yverdon-les- Bains, - Service de protection de la jeunesse, ORPM du Nord vaudois, à l’att. de B.________, et communiqué à : - Croix-Rouge vaudoise, Trait d’Union, Lausanne, - Mme la Juge de paix du district du Jura – Nord vaudois, par l'envoi de photocopies.</w:t>
      </w:r>
    </w:p>
    <w:p>
      <w:r>
        <w:t>- 24 -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6</w:t>
      </w:r>
    </w:p>
    <w:p>
      <w:r>
        <w:t>A l’audience du 17 décembre 2019, T.________ a requis, par voie de mesures superprovisionnelles et provisionnelles, d’avoir sa fille auprès de lui pour les fêtes de Noël le 24 ou le 25 décembre 2019, de 10h00 à 20h00, à charge pour lui d’aller chercher l’enfant au domicile de sa mère et de l’y ramener, et a maintenu sa conclusion provisionnelle du 19 août 2019 en rétablissement de son droit de visite usuel. B.L.________ a conclu au rejet. Par convention ratifiée sur le siège pour valoir ordonnance de mesures provisionnelles, les parties se sont engagées à entamer un suivi de coparentalité, par exemple après des [...] ou des [...], le père s’engageant à entreprendre avec A.L.________ un suivi de soutien à la parentalité auprès d’un thérapeute spécialisé, de préférence la Dre R.________, et la mère à poursuivre le suivi de l’enfant auprès de la prénommée ainsi que le sien propre. En outre, les parties ont accepté que des rapports soient demandés aux différents intervenants mentionnés ci- dessus et qu’un mandat de surveillance judiciaire au sens de l’art. 307 CC soit institué et confié au SPJ. B.________ a expliqué que le conflit parental était encore très actif et T.________ tendait à faire porter la responsabilité des évènements à la mère. Lorsqu’il avait rédigé son rapport en juillet 2019, il n’avait encore aucun renseignement des thérapeutes et à la lecture du rapport de la Dre R.________, en novembre 2019, il avait revu son point de vue. Il s’était par ailleurs rendu au domicile d’B.L.________, qui lui avait déclaré qu’il y avait eu plusieurs nuits durant lesquelles la fillette avait fait des cauchemars et s’était réveillée en pleurs et qui lui avait fait écouter des enregistrements de l’enfant pleurant en pleine nuit et criant « j’ai peur j’ai peur ». En outre, A.L.________ avait évoqué le fait que son père la frappait avec une ceinture. B.________ était conscient que A.L.________ faisait peut-être référence à un évènement plus ancien et qu’il n’était pas possible d’être</w:t>
      </w:r>
    </w:p>
    <w:p>
      <w:r>
        <w:t>- 12 - sûr de l’implication de T.________ dans ce cadre. Dès lors qu’il était impossible de déterminer l’impact sur A.L.________ d’un élargissement du droit de visite, le SPJ estimait que le principe de précaution commandait de se centrer sur le bien de l’enfant ainsi que de poursuivre l’exercice du droit de visite à l’intérieur des locaux selon les recommandations de la pédopsychiatre qui estimait que l’enfant allait mieux depuis la mise en place de ces modalités, le père devant faire un travail thérapeutique et les parties entamer un travail parental. Une réévaluation de la situation pourrait être faite après quelques mois et B.________ proposait d’interpeller Espace Contact et Trait d’Union en vue d’un futur élargissement du droit de visite. Invoquant le caractère très restrictif des modalités actuelles de son droit de visite et l’absence d’abus manifeste de sa part, T.________ s’est opposé au maintien de ses relations personnelles dans les locaux de Point Rencontre. B.L.________ a pour sa part déclaré qu’elle ne s’opposait pas à un droit de visite du père à l’extérieur, à la condition qu’un tiers soit présent. Par ordonnance de mesures superprovisionnelles rendue le 18 décembre 2019, la juge de paix a rejeté la requête de mesures superprovisionnelles du 17 décembre 2019 et rappelé qu’une décision serait rendue ultérieurement sur la requête de mesures provisionnelles également déposée le 17 décembre 2019.</w:t>
      </w:r>
    </w:p>
    <w:p>
      <w:r>
        <w:rPr>
          <w:b/>
        </w:rPr>
        <w:t>E. 7</w:t>
      </w:r>
    </w:p>
    <w:p>
      <w:r>
        <w:t>Dans un rapport complémentaire à l’intention de la juge de paix du 6 janvier 2020, la Dre R.________ a estimé que l’encadrement des visites à l’extérieur de Point Rencontre était tout à fait justifié et nécessaire. Elle s’était entretenue le 21 décembre 2019 avec T.________, qui acceptait de rencontrer sa fille en présence d’un tiers au travers d’une association spécialisée, ce qui lui permettrait de voir sa fille plus longtemps, et de payer le service de l’association au tarif indiqué. La thérapeute préconisait la poursuite des relations personnelles à l’intérieur des locaux de Point Rencontre le temps que le père puisse bénéficier des prestations d’une association appropriée. En revanche, elle estimait qu’il</w:t>
      </w:r>
    </w:p>
    <w:p>
      <w:r>
        <w:t>- 13 - était contre-indiqué qu’elle effectue le suivi pédo-psychiatrique père- enfant dès lors qu’elle était engagée dans le traitement individuel de A.L.________, lequel participait à aider l’enfant à rencontrer son père. Dans ses déterminations du 24 janvier 2020, B.L.________ a soutenu la position précitée de la Dre R.________. Se déterminant également le 24 janvier 2020, T.________ a maintenu ses conclusions et requis, à titre subsidiaire, de pouvoir exercer ses relations personnelles par l’intermédiaire de Point Rencontre avec autorisation de sortir des locaux. Par courrier du 31 janvier 2020, le SPJ a indiqué qu’il y avait des délais d’attente à Espace Contact (12 à 14 mois) et à Trait d’Union (6 mois). Dès lors, il proposait de maintenir les visites à Point Rencontre le temps de mettre en place des visites auprès d’un organisme spécialisé. En d roit : 1. 1.1 Le recours est dirigé contre une ordonnance de mesures provisionnelles de la juge de paix fixant provisoirement les modalités de l’exercice du droit de visite d’un père sur sa fille mineure (art. 273 ss CC). Le recours de l'art. 450 CC est ouvert à la Chambre des curatelles (art. 8 LVPAE [loi du 29 mai 2012 d’application du droit fédéral de la protection de l’adulte et de l’enfant ; BLV 211.255] et 76 al. 2 LOJV [loi d’organisation judiciaire du 12 décembre 1979 ; BLV 173.01]) contre toute décision relative aux mesures provisionnelles (Steck, Basler Kommentar, Zivilgesetzbuch I, Art. 1-456 ZGB, 6e éd., Bâle 2018, n. 21 ad art. 450 CC, p. 2817) dans les dix jours dès la notification de la décision (art. 445 al. 3 CC). Les personnes parties à la procédure, les proches de la personne concernée et les personnes qui ont un intérêt juridique à</w:t>
      </w:r>
    </w:p>
    <w:p>
      <w:r>
        <w:t>- 14 -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op. cit., n. 42 ad art. 250 CC, p. 2825). 1.2 En l’espèce, motivé et interjeté en temps utile par le père de la mineure concernée, partie à la procédure, le présent recours est recevable. 2. 2.1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30 juin 2014/147 ; CCUR 8 mars 2019/50). Selon la jurisprudence, l’autorité cantonale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 TF 5A_388/2018 consid. 4.1).</w:t>
      </w:r>
    </w:p>
    <w:p>
      <w:r>
        <w:t>- 15 - 2.2 En l’espèce, il n’y a pas lieu de donner suite aux mesures d’instruction sollicitées par le recourant. B.________ a été entendu par la première juge et la Dre R.________ requise de déposer un rapport complémentaire après l’audience de première instance. Ces éléments sont suffisamment récents. On ne voit pas ce que le Dr [...], consulté par le recourant pour un soutien à la coparentalité à la suite de son engagement pris à l’audience du 17 décembre 2019, pourrait avoir d’utile à rapporter avec si peu de recul : même si le praticien déclarait que le recourant était un père formidable, cela ne suffirait pas à mettre à néant les autres éléments du dossier. Enfin, le fait de réentendre les parties n’aura aucune utilité car il est à prévoir que chacune d’elles réexposera sa version des évènements. 3. 3.1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[cité : Guide pratique COPMA 2017], n. 5.77, p. 180). Elle jouit d’un plein pouvoir de cognition pour tous les motifs de recours prévus par la loi, à savoir la violation du droit (al. 1), la constatation fausse ou incomplète des faits pertinents (al. 2) et l’inopportunité de la décision (ch. 3) (Meier, Commentaire du droit de la famille, Protection de l’adulte, Berne 2013 [cité : CommFam], n. 7 ad art. 450a CC, p. 922 et les références citées). S’agissant de ce dernier critère, l’instance judiciaire de recours jouit d’un plein pouvoir d’appréciation (Meier,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applicable par renvoi des art. 450f CC et</w:t>
      </w:r>
    </w:p>
    <w:p>
      <w:r>
        <w:t>- 16 - 20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En l’occurrence, la juge de paix a indiqué par courrier du 17 mars 2020 qu’elle n’entendait pas reconsidérer sa décision. 3.2 3.2.1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Selon l’art. 275 al. 1 CC, l’autorité de protection du domicile de l’enfant est compétente pour prendre les mesures nécessaires concernant les relations personnelles ; la même compétence appartient en outre à l’autorité de protection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1 et 5 let. j LVPAE). La procédure devant l'autorité de protection est régie par les art. 443 ss CC. Les personnes concernées doivent être entendues</w:t>
      </w:r>
    </w:p>
    <w:p>
      <w:r>
        <w:t>- 17 -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(TF 5A_354/2015 consid. 3.3 ;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TF 5A_354/2015 du 3 août 2015 consid. 3.3 ; ATF 133 III 146 consid. 2.6 ; ATF 131 III 553 consid. 1.1). Lorsqu’il y a péril en la demeure, il peut être justifié de ne pas procéder à une audition personnelle, mais de procéder à celle-ci dès que possible (Steinauer/Fountoulakis, Droit des personnes physiques et de la protection de l’adulte, 2014, nn. 1108 et 1116, p. 494 et 498). 3.2.2 En l'espèce, l’ordonnance entreprise a été rendue par la juge de paix, autorité de protection du domicile de la mère et de l’enfant, laquelle a fondé sa compétence sur l’art. 5 LVPAE. La juge de paix a procédé à l'audition des parents de l’enfant lors de l’audience du 17 décembre 2019, de sorte que leur droit d'être entendu a été respecté. En revanche, l’enfant A.L.________, âgée de moins de cinq ans, est trop jeune pour être entendue par l’autorité de protection. Ses propos ont par ailleurs été recueillis par divers intervenants et il serait inopportun de multiplier ses auditions. Il s’ensuit que la décision entreprise est formellement correcte et peut être examinée sur le fond.</w:t>
      </w:r>
    </w:p>
    <w:p>
      <w:r>
        <w:t>- 18 - 4. 4.1 Invoquant une violation des art. 273 al. 1 et 445 al. 1 CC, le recourant fait valoir que s’il était normal en mars 2019 de restreindre son droit de visite en vertu du principe de précaution dans l’attente d’investigations supplémentaires, les conditions pour maintenir une telle restriction n’étaient désormais plus réunies. Il relève que la mère avait attendu plusieurs mois avant de faire état de ses craintes relatives à des violences, que les comportements inquiétants de l’enfant étaient apparus durant un long séjour au Mexique et que la mère avait déposé sa requête peu après qu’il s’était opposé à ce qu’elle séjourne à nouveau deux mois dans ce pays, ce qui faisait « douter des véritables motifs » de l’intéressée. Il rappelle que la procédure pénale a abouti à un classement. Il observe que, dans leurs rapports, le SPJ et les médecins n’ont pas pu faire le lien entre les troubles de l’enfant et l’exercice du droit de visite. Il émet l’hypothèse que si le Point Rencontre a amélioré la situation, c’est peut-être parce que la mère ne peut plus sans cesse se rendre à l’étranger avec sa fille, qui avait ainsi pu retrouver une certaine stabilité. Il signale que le SPJ s’est interrogé sur l’impact de ces voyages sur les inquiétudes développées par l’enfant. 4.2 4.2.1 Un parent qui n’a pas la garde de son enfant a un droit réciproque à des relations personnelles avec lui (art. 273 al. 1 CC). Il s’agit d’un droit et d'une obligation réciproque, qui sert avant tout l’intérêt de l’enfant. Les modalités de l’exercice de ce droit sont arrêtées en fonction du bien-être de l’enfant, lequel doit être évalué sur la base des circonstances du cas d’espèce (TF 5A_514/2018 du 20 février 2019 consid. 4.3.1).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w:t>
      </w:r>
    </w:p>
    <w:p>
      <w:r>
        <w:t>- 19 -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(TF 5A_498/2019 du 6 novembre 2019 consid. 4.3). On tiendra compte notamment de l'âge de l'enfant (pré-scolarité ou adolescence par exemple), de son état de santé et de ses loisirs. L’art. 274 al. 2 CC permet au détenteur de l’autorité parentale, ou à l’autorité en cas de conflit, de refuser ou de retirer l’exercice du droit de visite si le bien de l’enfant est mis en péril. La mise en danger concrète du bien de l’enfant est nécessaire non seulement pour justifier un refus ou un retrait du droit aux relations personnelles, mais aussi pour imposer au titulaire de l’obligation de se soumettre à des modalités particulières (droit de visite surveillé par ex.), et pour motiver une suspension du droit limitée dans le temps (par ex. pendant les vacances de l’enfant [Meier/Stettler, Droit de la filiation, 6e éd., 2019, n. 1003, pp. 651-652]). Il ne suffit pas que l’enfant risque abstraitement de subir une mauvaise influence pour qu'un droit de visite surveillé soit instauré. Il y a danger pour le bien de l’enfant au sens de cette disposition si son développement physique, moral et psychique est menacé par la présence même limitée du parent qui n’a pas l’autorité parentale ou la garde. En cas de limitation des relations personnelles, le principe de proportionnalité doit être respecté (TF 5A_514/2018 du 20 février 2019 consid. 4.3.2). Le droit de visite surveillé tend à mettre efficacement l'enfant hors de danger, à désamorcer des situations de crise, à réduire les craintes et à contribuer à l'amélioration des relations avec l'enfant et entre les parents (Meier/Stettler, op. cit., n. 1019 p. 670, selon lesquels il serait préférable, afin d’éviter toute confusion avec le droit de visite placé sous la surveillance d’un curateur désigné selon l’art. 308 al. 2 CC, d’utiliser l’expression de « droit de visite accompagné » ou de « droit de visite</w:t>
      </w:r>
    </w:p>
    <w:p>
      <w:r>
        <w:t>- 20 - « médiatisé »). Il constitue en principe une solution provisoire et ne peut donc être ordonné que pour une durée limitée. Il convient toutefois de réserver les cas où il apparaît d'emblée que les visites ne pourront pas, dans un proche avenir, être effectuées sans accompagnement (TF 5A_184/2017 du 9 juin 2017 consid. 4.1 et références citées ; TF 5A_728/2015 du 25 août 2016 consid. 2.2). 4.2.2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CCUR 3 mars 2020/50 ; CCUR 13 février 2014/30 et les références citées). De surcroît, le juge des mesures provisionnelles statue sur la base des justificatifs immédiatement disponibles (Colombini, Code de procédure civile, Condensé de la jurisprudence fédérale et vaudoise, Lausanne 2018, n. 3.1.1 ad art. 296 CPC, p. 903 et les références citées). L'appréciation des circonstances de fait pour fixer le droit aux relations personnelles est une question de droit ; le juge dispose d'un large pouvoir d'appréciation (TF 5A_191/2018 du 7 août 2018 consid. 6.2.2.1). 4.3 En l’espèce, la suspicion de mauvais traitements du recourant à l’égard de sa fille n’a pas été confirmée. Aucune trace n’a jamais été observée sur l’enfant alors qu’il est pourtant allégué qu’elle aurait reçu des coups de ceinture. Il est vrai que la mère n’a pas immédiatement dénoncé cette crainte – résultant d’un prétendu aveu du père – et que ce</w:t>
      </w:r>
    </w:p>
    <w:p>
      <w:r>
        <w:t>- 21 - n’est que lorsque l’enfant, qui semblait aller très bien jusqu’à l’été 2018, a présenté des troubles du comportement qu’elle a commencé à s’inquiéter, ce qui est compréhensible. Reste que l’enfant a des comportements qui témoignent de craintes envers son père et d’un sentiment d’insécurité. On en ignore la cause exacte : ils peuvent être dus à la violence du père ou d’un tiers, aux difficultés de communication entre les parents, aux voyages lointains et fréquents de la mère. Chaque parent se méfie de l’autre. Il n’empêche que les mesures prises, notamment la fixation du droit de visite à Point Rencontre et le suivi médical de l’enfant, ont amélioré la situation sans la régler complètement. De l’avis de la Dre R.________, auquel se rallie le SPJ, l’enfant a encore besoin d’un cadre sécurisant. Dans ces conditions, le maintien de l’exercice provisoire du droit de visite du recourant en présence d’un tiers est nécessaire, que ce soit à Espace Contact ou Trait d’Union dès que possible, ou à l’intérieur de Point Rencontre en attendant qu’une place soit disponible dans l’organisme approprié. La durée de cette mesure est conditionnée par l’état psychologique de l’enfant, lequel devrait rapidement s’améliorer si les parents continuent à collaborer pour le bien de leur fille comme ils s’y sont engagés.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