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LR15.054752 vom 4. Januar 2019</w:t>
      </w:r>
    </w:p>
    <w:p>
      <w:r>
        <w:t>VD Tribunal cantonal, 2019-01-04, FR</w:t>
      </w:r>
    </w:p>
    <w:p>
      <w:r>
        <w:rPr>
          <w:b/>
        </w:rPr>
        <w:t xml:space="preserve">Quelle: </w:t>
      </w:r>
      <w:r>
        <w:t>https://mcp.opencaselaw.ch/entscheid/vd_gerichte_LR15.054752</w:t>
      </w:r>
    </w:p>
    <w:p>
      <w:r>
        <w:t>FR: VD_GERICHTE LR15.054752 du 4 janvier 2019</w:t>
      </w:r>
    </w:p>
    <w:p>
      <w:r>
        <w:t>IT: VD_GERICHTE LR15.054752 del 4 gennaio 2019</w:t>
      </w:r>
    </w:p>
    <w:p>
      <w:pPr>
        <w:pStyle w:val="Heading2"/>
      </w:pPr>
      <w:r>
        <w:t>Erwägungen</w:t>
      </w:r>
    </w:p>
    <w:p>
      <w:r>
        <w:rPr>
          <w:b/>
        </w:rPr>
        <w:t>E. 5.1</w:t>
      </w:r>
    </w:p>
    <w:p>
      <w:r>
        <w:t>Le recourant se plaint d'une violation des art. 106 et 107 CPC s'agissant de la répartition des frais. Il estime que les frais auraient dû être mis entièrement à la charge de l'intimée dans la mesure où l’enquête en modification de son droit aux relations personnelles avec son fils aurait été ouverte à sa demande et qu’elle aurait perduré par sa faute. L’intimée fait quant à elle valoir que le recourant n'a pas obtenu l'entier de ses conclusions au fond, rejetées dans une large mesure, et que bon nombre de ses requêtes provisionnelles n’a pas été accordé. La répartition des frais attaquée serait en réalité déjà favorable au recourant.</w:t>
      </w:r>
    </w:p>
    <w:p>
      <w:r>
        <w:rPr>
          <w:b/>
        </w:rPr>
        <w:t>E. 5.2.1</w:t>
      </w:r>
    </w:p>
    <w:p>
      <w:r>
        <w:t>Selon l’art. 38 al. 1 LVPAE, les émoluments et les frais auxquels donnent lieu les mesures prises en matière de protection de l'enfant au sens large sont à la charge des débiteurs de l'obligation</w:t>
      </w:r>
    </w:p>
    <w:p>
      <w:r>
        <w:t>- 27 - d'entretien de l'enfant. Ils peuvent cependant, selon les circonstances, être répartis différemment ou être laissés à la charge de l'Etat (art. 38 al. 2 LVPAE). Les dispositions générales (art. 1 à 196 CPC) et, par analogie, celles relatives à la procédure sommaire (art. 248 à 270 CPC) du CPC, sont applicables à titre complémentaire à la LVPAE en matière de procédure d'intervention des autorités de protection de l'adulte et de l'enfant (art. 12 al. 1 LVPAE).</w:t>
      </w:r>
    </w:p>
    <w:p>
      <w:r>
        <w:rPr>
          <w:b/>
        </w:rPr>
        <w:t>E. 5.2.2</w:t>
      </w:r>
    </w:p>
    <w:p>
      <w:r>
        <w:t>Selon l’art. 106 al. 1 CPC, les frais sont mis à la charge de la partie succombante. La partie succombante est le demandeur lorsque le tribunal n'entre pas en matière et en cas de désistement d'action ; elle est le défendeur en cas d'acquiescement. Lorsqu'aucune des parties n'obtient entièrement gain de cause, les frais sont répartis selon le sort de la cause (art. 106 al. 2 CPC). En vertu de l’art. 107 al. 1 CPC, le tribunal peut s'écarter des règles générales et répartir les frais selon sa libre appréciation lorsque le demandeur obtient gain de cause sur le principe de ses conclusions mais non sur leur montant, celui-ci étant tributaire de l'appréciation du tribunal ou difficile à chiffrer (let. a) ; une partie a intenté le procès de bonne foi (let. b) ; le litige relève du droit de la famille (let. c) ; le litige relève d'un partenariat enregistré (let. d) ; la procédure est devenue sans objet et la loi n'en dispose pas autrement (let. e) ; des circonstances particulières rendent la répartition en fonction du sort de la cause inéquitable (let. f).</w:t>
      </w:r>
    </w:p>
    <w:p>
      <w:r>
        <w:rPr>
          <w:b/>
        </w:rPr>
        <w:t>E. 5.2.3</w:t>
      </w:r>
    </w:p>
    <w:p>
      <w:r>
        <w:t>Dans les contestations portant sur des affaires non patrimoniales, le défraiement de l’avocat est de 600 à 50'000 francs en première instance, en fonction de l'importance et de la difficulté de la cause ainsi que selon le travail effectué (art. 9 al. 1 TDC [tarif des dépens en matière civile du 23 novembre 2010 ; BLV 270.11.6]). En deuxième instance, il est de 100 à 25'000 fr. (art. 9 al. 2 TDC).</w:t>
      </w:r>
    </w:p>
    <w:p>
      <w:r>
        <w:t>- 28 -</w:t>
      </w:r>
    </w:p>
    <w:p>
      <w:r>
        <w:rPr>
          <w:b/>
        </w:rPr>
        <w:t>E. 5.3</w:t>
      </w:r>
    </w:p>
    <w:p>
      <w:r>
        <w:t>Après contrôle, il résulte que les frais de première instance, arrêtés par les premiers juges à 16'922 fr. 40, comprennent la somme de 14'000 fr. à titre de frais d’expertise et de 2'922 fr. 40 à titre de frais judiciaires divers (art. 95 al. 2 CPC). A ce montant, il faut ajouter une facture du 28 juin 2018 d’un montant de 1'418 fr. 10 correspondant aux honoraires des experts U.________ et D.________ pour leur audition du 19 avril 2018. Il s’ensuit que les frais judiciaires de première instance s’élèvent à 18'340 fr. 50. En l’occurrence, A.Z.________ a obtenu gain de cause sur le principe de l’élargissement de son droit aux relations personnelles, mais il n’a pas été fait droit à toutes ses conclusions. S’agissant de L.________, il y a lieu de constater que ses appréhensions qui ont amplement nourri la procédure n’ont pas été corroborées par l’expertise si bien qu’il y a lieu de considérer qu’elle succombe dans une plus large mesure que A.Z.________. Par conséquent, en l’absence d’éléments qui justifieraient l’application de l’art. 107 CPC, il y a lieu de répartir les frais judiciaires de première instance, arrêtés à 18'340 fr. 50, à raison d’un tiers à la charge du recourant, soit 6'113 fr. 50, et de deux tiers à la charge de l’intimée, soit 12'227 fr. (art. 106 al. 2 CPC). Par ailleurs, il y a lieu de retenir que la charge des dépens de première instance s’élève à 6'000 fr. par partie (art. 9 al. 1 TDC). De ce fait, l’intimée devra verser au recourant, après compensation dans la même proportion que les frais judiciaires de première instance, des dépens réduits à 2'000 francs.</w:t>
      </w:r>
    </w:p>
    <w:p>
      <w:r>
        <w:rPr>
          <w:b/>
        </w:rPr>
        <w:t>E. 6</w:t>
      </w:r>
    </w:p>
    <w:p>
      <w:r>
        <w:t>Il résulte de ce qui précède que le recours de A.Z.________ doit être partiellement admis et la décision attaquée réformée dans le sens des considérants qui précèdent. Les frais judiciaires de deuxième instance, arrêtés à 900 fr. (art. 74a al. 1 TFJC [tarif des frais judiciaires civils du 28 septembre 2010 ; BLV 270.11.5], seront supportés à raison d’un tiers par le recourant, soit par 300 fr., et de deux tiers par l’intimée, soit par 600 fr. (art. 106 al. 2</w:t>
      </w:r>
    </w:p>
    <w:p>
      <w:r>
        <w:t>- 29 - CPC). L.________ restituera dès lors au recourant son avance de frais judiciaires de deuxième instance – à hauteur de 900 fr. –, à concurrence de 600 francs. Enfin, les dépens de deuxième instance sont arrêtés à 2'100 fr. pour chaque partie (art. 9 al. 2 TDC). L.________ versera à A.Z.________, après compensation, la somme de 700 fr. à titre de dépens réduits. Partant, L.________ devra verser à A.Z.________ un montant total de 1'300 fr. (600 fr. [à titre de remboursement d’avance de frais] + 700 fr. [à titre de dépens]). Par ces motifs, la Chambre des curatelles du Tribunal cantonal, statuant à huis clos, prononce : I. Le recours est partiellement admis. II. La décision est réformée comme il suit aux chiffres I et VIII de son dispositif : I. modifie le jugement de divorce rendu le 13 septembre 2010 par la Cour d’appel de Lyon, en ce sens que A.Z.________ bénéficiera à l’égard de son fils B.Z.________, né le [...] 2004, d’un droit de visite d’un week-end sur deux, du vendredi à 18 heures au dimanche à 18 heures, chaque mardi de la fin des cours jusqu’au lendemain à la reprise des cours, ainsi que durant la moitié des vacances scolaires et jours fériés officiels, selon l’alternance suivante, à charge pour A.Z.________ – sauf meilleure entente avec L.________ – de chercher et ramener son fils devant l’immeuble abritant le domicile maternel :</w:t>
      </w:r>
    </w:p>
    <w:p>
      <w:r>
        <w:t>- 30 - - années impaires : première moitié des vacances de Pâques, d’été, d’automne, semaine de Noël, jeudi de l’Ascension et le vendredi qui suit, - années paires : seconde moitié des vacances de Pâques, d’été, d’automne, semaine de Nouvel-An, semaine de relâches de février, lundi de Pentecôte et lundi du Jeûne fédéral. VIII. met les frais judiciaires de première instance, par 18'340 fr. 50 (dix-huit mille trois cent quarante francs et cinquante centimes), à la charge de A.Z.________ à hauteur de 6'113 fr. 50 (six mille cent treize francs et cinquante centimes) et à la charge de L.________ à hauteur de 12'227 fr. (douze mille deux cent vingt-sept francs) et dit que L.________ versera à A.Z.________ la somme de 2'000 fr. (deux mille francs) à titre de dépens réduits de première instance. La décision est confirmée pour le surplus. III. Les frais judiciaires de deuxième instance, arrêtés à 900 fr. (neuf cents francs), sont mis à hauteur de 300 fr. (trois cents francs) à la charge du recourant A.Z.________ et à hauteur de 600 fr. (six cents francs) à la charge de l’intimée L.________. IV. L’intimée L.________ versera au recourant A.Z.________ la somme de 1’300 fr. (mille trois cent francs) à titre de restitution partielle de l’avance des frais judiciaires et de dépens réduits de deuxième instance.</w:t>
      </w:r>
    </w:p>
    <w:p>
      <w:r>
        <w:t>- 31 - V. L'arrêt est exécutoire. La vice-présidente : La greffière : Du L'arrêt qui précède, dont la rédaction a été approuvée à huis clos, est notifié à : - Me Mélanie Freymond, avocate (pour A.Z.________), - Me Philippe Richard, avocat (pour L.________) et communiqué à : - Mme la Juge de paix du district de Lavaux-Oron, - SPJ, UEMS.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- 32 -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