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LR14.049002 vom 11. Dezember 2015</w:t>
      </w:r>
    </w:p>
    <w:p>
      <w:r>
        <w:t>VD Tribunal cantonal, 2015-12-11, FR</w:t>
      </w:r>
    </w:p>
    <w:p>
      <w:r>
        <w:rPr>
          <w:b/>
        </w:rPr>
        <w:t xml:space="preserve">Quelle: </w:t>
      </w:r>
      <w:r>
        <w:t>https://mcp.opencaselaw.ch/entscheid/vd_gerichte_LR14.049002</w:t>
      </w:r>
    </w:p>
    <w:p>
      <w:r>
        <w:t>FR: VD_GERICHTE LR14.049002 du 11 décembre 2015</w:t>
      </w:r>
    </w:p>
    <w:p>
      <w:r>
        <w:t>IT: VD_GERICHTE LR14.049002 del 11 dicembre 2015</w:t>
      </w:r>
    </w:p>
    <w:p>
      <w:pPr>
        <w:pStyle w:val="Heading2"/>
      </w:pPr>
      <w:r>
        <w:t>Erwägungen</w:t>
      </w:r>
    </w:p>
    <w:p>
      <w:r>
        <w:rPr>
          <w:b/>
        </w:rPr>
        <w:t>E. 1</w:t>
      </w:r>
    </w:p>
    <w:p>
      <w:r>
        <w:t>a) Le recours est dirigé contre une décision de la justice de paix restituant le droit de déterminer le lieu de résidence de l’enfant R.________ à X.________, maintenant le retrait du droit de déterminer le lieu de résidence de l’enfant R.________ prononcé à l’encontre de G.________ et suspendant provisoirement le droit de visite de cette dernière, en application des art. 273 et 310 CC (Code civil suisse du 10 décembre 1907 ; RS 210).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w:t>
      </w:r>
    </w:p>
    <w:p>
      <w:r>
        <w:t>- 7 - reconsidérer sa décision (al. 2). Lorsque le recours est manifestement mal fondé, l'autorité de recours peut renoncer à consulter l'autorité de protection de l'adulte (Reusser, Basler Kommentar, 5ème éd., 2014, nn. 6 ss ad art. 450d CC, pp. 2640). L’art. 446 al. 1 CC, applicable par renvoi de l’art. 314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 En l’espèce, interjeté en temps utile par la mère de l'enfant mineur concerné, partie à la procédure, le présent recours est recevable. Le recours étant manifestement mal fondé, au vu des considérations qui seront développées ci-après, la Chambre des curatelles a renoncé à consulter l'autorité de protection de l'adulte et le père de l’enfant n’a pas été invité à se déterminer (art. 312 al. 1 et 322 al. 1 CPC, applicables par renvoi de l’art. 450f CC). d)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w:t>
      </w:r>
    </w:p>
    <w:p>
      <w:r>
        <w:t>- 8 - fait sur des points essentiels (art. 318 al. 1 let. c ch. 2 CPC, applicable par renvoi des art. 450f CC et 20 LVPAE). Selon les situations, le recours sera par conséquent réformatoire ou cassatoire (Guide pratique COPMA, n. 12.39, p. 290).</w:t>
      </w:r>
    </w:p>
    <w:p>
      <w:r>
        <w:rPr>
          <w:b/>
        </w:rPr>
        <w:t>E. 2</w:t>
      </w:r>
    </w:p>
    <w:p>
      <w:r>
        <w:t>a) La recourante soutient qu’il serait prématuré de restituer la garde de l’enfant à son père, l’expertise n’ayant pas encore été mise en œuvre. Elle fait valoir que l’enfant pourrait être instrumentalisé dans le conflit entre ses parents, dès lors qu’il s’oppose désormais au droit de visite, alors qu’il se montrait ambivalent tout en souhaitant continuer à voir sa mère en début d’année. En définitive, elle estime que le droit de déterminer le lieu de résidence devrait être maintenu en mains du SPJ jusqu’à l’achèvement de l’expertise. b/ba)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Stettler, Le droit suisse de la filiation, Traité de droit privé suisse, III, tome II, 1, p. 247 ; Meier/Stettler, Droit de la filiation, 5ème éd., 2014, n. 462, pp. 308 s.). Les modifications légales relatives à l’autorité</w:t>
      </w:r>
    </w:p>
    <w:p>
      <w:r>
        <w:t>- 9 -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(Meier/Stettler, op. cit., nn. 21 et 465 s., pp. 14 et 310 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w:t>
      </w:r>
    </w:p>
    <w:p>
      <w:r>
        <w:rPr>
          <w:b/>
        </w:rPr>
        <w:t>E. 3</w:t>
      </w:r>
    </w:p>
    <w:p>
      <w:r>
        <w:t>a) La recourante fait également valoir que son droit de visite à l’égard de son fils doit être rétabli. Elle soutient en particulier que la péjoration de la situation ne lui est pas imputable. b) Les art. 273 ss CC relatifs aux relations personnelles d’un enfant avec ses père et mère ou des tiers n’ont pas non plus été modifiés par l’entrée en vigueur du nouveau droit, de sorte que la doctrine et la jurisprudence rendues avant le 1er janvier 2013 conservent toute leur pertinence.</w:t>
      </w:r>
    </w:p>
    <w:p>
      <w:r>
        <w:t>- 13 -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5A_877/2013 du 10 février 2014 consid. 6.1 ; TF 5A_448/2008 du 2 octobre 2008 consid. 4.1 ; ATF 131 III 209 consid. 5, JdT 2005 I 201). Le retrait de tout droit à des relations personnelles constitue l'ultima ratio et ne peut être ordonné dans l’intérêt de l’enfant que si les</w:t>
      </w:r>
    </w:p>
    <w:p>
      <w:r>
        <w:t>- 14 - effets négatifs des relations personnelles ne peuvent être maintenus dans des limites supportables pour l’enfant (TF 5A_172/2012 du 16 mai 2012 consid. 4.1.1 et les références citées,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détenteur de autorité parentale, le principe de la proportionnalité et le sens des relations personnelles interdisent la suppression complète de ce droit (TF 5A_120/2013 du 23 mai 2013 consid. 2.1.3 et les références citées). L’établissement d’un droit de visite surveillé nécessite des indices concrets de mise en danger du bien de l’enfant. Dès lors, il convient de faire preuve d’une certaine retenue lors du choix de cette mesure (TF 5A_401/2014 consid. 3.2.2 et la jurisprudence citée ; Meier/Stettler, Droit de la filiation, 5ème éd., Bâle 2014,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1/2008,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c) En l’espèce, le SPJ estime qu’un moratoire sur les visites est nécessaire, au vu notamment du malaise grandissant de l’enfant et de la souffrance qu’il a exprimée très clairement ; cette suspension devrait être examinée à nouveau lors du dépôt de l’expertise pédopsychiatrique sur la pertinence, la forme et la tenue du droit de visite. Le Point Rencontre a d’ailleurs exprimé, dans un courrier du 25 juin 2015, que cette institution</w:t>
      </w:r>
    </w:p>
    <w:p>
      <w:r>
        <w:t>- 15 - avait atteint ses limites ; cette mesure moins contraignante a échoué à ce jour. A l’audience de l’autorité de protection du 2 octobre 2015, l’assistante sociale du SPJ a relevé que, depuis la suspension du droit de visite, l’enfant allait mieux et se sentait libéré. En l’état, la suspension provisoire du droit de visites est nécessaire pour sauvegarder l’intérêt de l’enfant, qui est en souffrance. Cette suspension provisoire devra à nouveau être examinée sur la base du rapport pédopsychiatrique à mettre en œuvre. La décision de l’autorité de protection ne prête pas non plus flanc à critique sur ce point.</w:t>
      </w:r>
    </w:p>
    <w:p>
      <w:r>
        <w:rPr>
          <w:b/>
        </w:rPr>
        <w:t>E. 4</w:t>
      </w:r>
    </w:p>
    <w:p>
      <w:r>
        <w:t>a) En conclusion, le recours interjeté par G.________ doit être rejeté et l’ordonnance attaquée confirmée. b) Le présent arrêt peut être rendu sans frais (art. 74a al. 4 TFJC [tarif du 28 septembre 2010 des frais judiciaires civils ; RSV 270.11.5]). c) La recourante a requis d'être mise au bénéfice de l’assistance judiciaire pour la procédure de recours. Au regard de l’art. 117 let. b CPC, applicable par renvoi de l’art. 450f CC, sa requête doit être rejetée. En effet, le recours apparaît d'emblée dépourvu de chances de succès.</w:t>
      </w:r>
    </w:p>
    <w:p>
      <w:r>
        <w:t>- 16 - Par ces motifs, la Chambre des curatelles du Tribunal cantonal, statuant à huis clos, prononce : I. Le recours est rejeté. II. L’ordonnance est confirmée. III. La requête d’assistance judiciaire de la recourante G.________ est rejetée. IV. L'arrêt est rendu sans frais de deuxième instance. V. L’arrêt motivé est exécutoire. La présidente : La greffière : Du Le dispositif de l'arrêt qui précède est communiqué par écrit aux intéressés. La greffière : Du</w:t>
      </w:r>
    </w:p>
    <w:p>
      <w:r>
        <w:t>- 17 - L'arrêt qui précède, dont la rédaction a été approuvée à huis clos, est notifié à : - Me Sébastien Thüler (pour G.________), - M. X.________, personnellement, - Mme S.________, assistante sociale auprès du Service de protection de la jeunesse – ORPM du Nord, et communiqué à : - Justice de paix du district du Jura – Nord vaudois,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