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LR14.042847 vom 28. Juli 2015</w:t>
      </w:r>
    </w:p>
    <w:p>
      <w:r>
        <w:t>VD Tribunal cantonal, 2015-07-28, FR</w:t>
      </w:r>
    </w:p>
    <w:p>
      <w:r>
        <w:rPr>
          <w:b/>
        </w:rPr>
        <w:t xml:space="preserve">Quelle: </w:t>
      </w:r>
      <w:r>
        <w:t>https://mcp.opencaselaw.ch/entscheid/vd_gerichte_LR14.042847</w:t>
      </w:r>
    </w:p>
    <w:p>
      <w:r>
        <w:t>FR: VD_GERICHTE LR14.042847 du 28 juillet 2015</w:t>
      </w:r>
    </w:p>
    <w:p>
      <w:r>
        <w:t>IT: VD_GERICHTE LR14.042847 del 28 luglio 2015</w:t>
      </w:r>
    </w:p>
    <w:p>
      <w:pPr>
        <w:pStyle w:val="Heading2"/>
      </w:pPr>
      <w:r>
        <w:t>Erwägungen</w:t>
      </w:r>
    </w:p>
    <w:p>
      <w:r>
        <w:rPr>
          <w:b/>
        </w:rPr>
        <w:t>E. 1</w:t>
      </w:r>
    </w:p>
    <w:p>
      <w:r>
        <w:t>Les recours sont dirigés contre une ordonnance de mesures provisionnelles du juge de paix refusant de suspendre l’enquête et ordonnant la mise en œuvre d’une expertise. a) L’ordonnance de suspension peut faire l’objet d’un recours au sens de l’art. 319 let. b ch. 1 CPC (art. 126 al. 2 CPC [Code de procédure civile suisse du 19 décembre 2008, RS 272]); cela signifie a</w:t>
      </w:r>
    </w:p>
    <w:p>
      <w:r>
        <w:t>- 9 - contrario que la décision de refus de suspension ne peut faire l’objet que du recours de l’art. 319 let. b ch. 2 CPC, applicable par renvoi de l’art. 450f CC, le recourant devant alors démontrer le préjudice difficilement réparable (Haldy, CPC commenté, Bâle 2011, n. 9 ad art. 126 CPC, p. 512; CREC 6 février 2014/46; CREC 24 janvier 2013/26). Cette notion implique une incidence dommageable et difficilement réparable. Le juge doit se montrer exigeant, voire restrictif, avant d’admettre l’accomplissement de cette condition, sous peine d'ouvrir le recours contre toute décision ou ordonnance d'instruction, ce que le législateur a clairement exclu : il s’agit de se prémunir contre le risque d’un prolongement sans fin du procès (Jeandin, CPC commenté, n. 22 ad art. 319 CPC et les réf., p. 1274; CREC 22 mars 2012/117). Le délai de recours est alors de dix jours (art. 321 al. 2 CPC). Contre une décision ordonnant la mise en œuvre d’une expertise psychiatrique, le recours de l’art. 319 let. b ch. 2 CPC, applicable par renvoi de l’art. 450f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312 al. 2 CPC), celle-ci étant susceptible de porter atteinte, de manière définitive, à la liberté personnelle de l’intéressé (Steck, Commentaire du droit de la famille [CommFam], Protection de l’adulte, Berne 2013, n. 17 ad art. 450 CC, p. 914; Steck, Basler Kommentar, Zivilgesetzbuch I, Art. 1-456 ZGB, 5e éd., Bâle 2014, nn. 22 ss ad art. 450 CC, p. 2619; Meier/Lukic, Introduction au nouveau droit de la protection de l’adulte, 2011, n. 128 p. 58; CCUR 30 juin 2014/147; CCUR 27 mars 2014/79; CCUR 22 janvier 2013/14; TF 5A_655/2013 du 29 octobre 2013 c. 2.1). Le recours doit être dûment motivé et interjeté par écrit (art. 321 al. 1 CPC), les exigences de motivation ne devant cependant pas être trop élevées (Steck, Basler Kommentar, op. cit., n. 42 ad art. 450 CC, p. 2624).</w:t>
      </w:r>
    </w:p>
    <w:p>
      <w:r>
        <w:t>- 10 -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cf. JT 2011 III 43). Conformément à l’art. 450d CC, la Chambre des curatelles donne à la justice de paix (art. 4 al. 1 LVPAE) l’occasion de prendre position (al. 1), cette autorité pouvant, au lieu de prendre position, reconsidérer sa décision (al. 2). ba) En l’espèce, les deux recours ont été déposés en temps utile par le mineur concerné et par sa mère, parties à la procédure. Il convient de déterminer si le refus de suspendre l’enquête et la mise en oeuvre de l’expertise sont susceptibles de causer un préjudice difficilement réparable. A cet égard, il sied de relever que le préjudice</w:t>
      </w:r>
    </w:p>
    <w:p>
      <w:r>
        <w:t>- 11 - allégué est celui de l’enfant B.C.________. La mère ne dit pas qu’une expertise sur la coparentalité lui porterait personnellement atteinte. Comme proche de B.C.________, elle peut faire valoir le préjudice de ce dernier. Ce n’est donc que de ce préjudice-là dont il sera question. bb) Les recours sont irrecevables en tant qu’ils sont dirigés contre le refus de suspendre l’enquête, faute de préjudice difficilement réparable. En effet, l’instruction du dossier peut se poursuivre sans que cela n’implique une reprise des relations entre le père et le fils, qui serait nuisible à ce dernier selon les dires des recourants. En outre, comme l’a relevé à juste titre le premier juge, on ne peut pas rester indéfiniment sans rien faire et risquer que la rupture du lien père-fils ne se cristallise encore plus. Enfin, l’effet suspensif ayant été accordé au recours, les quelques mois supplémentaires requis par les recourants auront de facto été obtenus. bc) S’agissant de la mise en œuvre de l’expertise, le chiffre III du dispositif de l’ordonnance entreprise indique uniquement que le premier juge «commet une expertise». Il ressort des considérants de la décision qu’il s’agit d’une expertise portant sur la coparentalité et sur les relations père-fils. Les recours sont recevables dans la mesure où ils sont dirigés contre la mise en œuvre d’une expertise portant sur les relations père-fils, une telle décision étant susceptible de porter atteinte à la liberté personnelle de l’intéressé. On peut en revanche douter de la recevabilité des recours en tant qu’ils sont dirigés contre la mise en œuvre d’une expertise portant sur la coparentalité, faute de préjudice difficilement réparable, dès lors que l’expertise concerne uniquement les parents et non B.C.________. Quoiqu’il en soit, même à supposer recevables, les recours doivent être rejetés pour les motifs exposés ci-dessous (cf. c. 4). bd) Les pièces produites en deuxième instance sont recevables si tant est qu’elles ne figurent pas déjà au dossier.</w:t>
      </w:r>
    </w:p>
    <w:p>
      <w:r>
        <w:t>- 12 - L’autorité de protection a été consultée conformément à l’art. 450d al. 1 CC.</w:t>
      </w:r>
    </w:p>
    <w:p>
      <w:r>
        <w:rPr>
          <w:b/>
        </w:rPr>
        <w:t>E. 2</w:t>
      </w:r>
    </w:p>
    <w:p>
      <w:r>
        <w:t>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b) Aux termes de l’art. 275 al. 1 CC, l’autorité de protection du domicile de l’enfant est compétente pour prendre les mesures nécessaires concernant les relations personnelles;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 c)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t>- 13 - d) En l’espèce, la décision a été rendue par le juge de paix, qui a fondé sa compétence sur les art. 275 al. 1 CC et 5 LVPAE. Ce magistrat a procédé à l’audition des parents de l’enfant lors de son audience du 24 février 2015, de sorte que le droit d’être entendu de ceux-ci a été respecté (cf. art. 447 al. 1 CC). B.C.________ a également été entendu le 26 novembre 2014. La décision entreprise est en conséquence formellement correcte.</w:t>
      </w:r>
    </w:p>
    <w:p>
      <w:r>
        <w:rPr>
          <w:b/>
        </w:rPr>
        <w:t>E. 3</w:t>
      </w:r>
    </w:p>
    <w:p>
      <w:r>
        <w:t>a) A titre de mesure d’instruction, les recourants requièrent l’audition du docteur J.________, pédopsychiatre de B.C.________. Le médecin précité a été interpellé dans le cadre de la présente procédure de recours et s’est déterminé par écrit les 16 et 23 juin 2015. Les éléments d’information à disposition sont donc suffisants pour permettre à l’autorité de recours de statuer. Partant, il n’y a pas lieu de donner suite à cette réquisition. b) A titre de mesure d’instruction, E.________ a requis l’interpellation de la doctoresse [...] afin de l’interroger sur l’incidence du conflit parental sur les positions de l’enfant. La réponse à cette question importe peu dès lors que la Cour de céans n’a pas à statuer sur le fond, mais sur la mise en œuvre d’une expertise. Il n’y a par conséquent pas lieu de donner suite à cette réquisition.</w:t>
      </w:r>
    </w:p>
    <w:p>
      <w:r>
        <w:rPr>
          <w:b/>
        </w:rPr>
        <w:t>E. 4</w:t>
      </w:r>
    </w:p>
    <w:p>
      <w:r>
        <w:t>Les recourants font grief au premier juge de s’être écarté des avis médicaux des docteurs J.________ et R.________ quant à la nécessité d’une expertise. Ils affirment que la mise en œuvre de celle-ci nuirait à l’état de santé de B.C.________ et ne permettrait pas d’obtenir des résultats positifs.</w:t>
      </w:r>
    </w:p>
    <w:p>
      <w:r>
        <w:t>- 14 - L’expertise sur la coparentalité peut être ordonnée sans préjudice pour l’enfant dès lors qu’elle devrait pouvoir être mise en œuvre sans que ce dernier ne soit intégré aux discussions ni ne soit convoqué. S’agissant de l’expertise sur les relations père-fils, dans leurs avis du 16 décembre 2014, les docteurs J.________ et R.________ affirment que B.C.________ ne doit plus être mis en contact avec cette affaire et n’est pas apte à supporter la charge psychologique d’une éventuelle expertise psychiatrique, ses intérêts commandant la préservation d’un état émotionnel suffisamment serein. Dans son courrier du 23 juin 2015, le docteur J.________ relève toutefois qu’après discussion avec l’intéressé, ce dernier n’est pas d’emblée opposé à l’expertise, mais ne veut pas être confronté directement à son père. Il constate en outre que l’état de B.C.________ évolue favorablement. Enfin, il conclut qu’il a l’impression que ce dernier pourra affronter une expertise après la pause d’été. Certes, dans sa lettre du 17 juin 2015, le docteur R.________ estime qu’une expertise est tout à fait inadéquate en ce moment et ne ferait que creuser le fossé qui sépare le fils de son père. Ce médecin a cependant lui-même indiqué qu’il n’avait vu l’adolescent qu’à quatre reprises entre janvier et mai 2015. Il ne voit dès lors l’enfant que très épisodiquement et ne semble pas l’avoir revu depuis mai 2015, contrairement au docteur J.________, qui le suit régulièrement. Il résulte de ce qui précède que l’expertise peut être ordonnée sans préjudice pour B.C.________ et que, partant, il n’y a pas lieu de renoncer à sa mise en œuvre. La décision entreprise peut donc être confirmée.</w:t>
      </w:r>
    </w:p>
    <w:p>
      <w:r>
        <w:rPr>
          <w:b/>
        </w:rPr>
        <w:t>E. 5</w:t>
      </w:r>
    </w:p>
    <w:p>
      <w:r>
        <w:t>En conclusion, les recours de B.C.________ et de A.C.________ doivent être rejetés dans la mesure où ils sont recevables et l’ordonnance entreprise confirmée.</w:t>
      </w:r>
    </w:p>
    <w:p>
      <w:r>
        <w:t>- 15 - a)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L’intimé a été mis au bénéfice de l’assistance judiciaire par décision du 21 avril 2015. Dans sa liste des opérations du 14 juillet 2015, son conseil Me Julie André indique avoir consacré 13 heures et 30 minutes à l’exécution de son mandat, temps qui apparaît raisonnable et admissible au regard des difficultés de la cause. Compte tenu d’un tarif horaire de 180 fr. hors TVA (art. 2 al. 1 let. a RAJ [Règlement du 7 décembre 2010 sur l'assistance judiciaire en matière civile, RSV 211.02.3]), son indemnité d'office doit être arrêtée à 2’430 fr., à laquelle il convient d’ajouter la TVA à 8%, par 194 fr. 40, et les débours, par 40 fr., plus 3 fr. 20 de TVA (art. 2 al. 3 RAJ), de sorte que le montant total lui revenant à ce titre s’élève à 2’667 fr. 60, arrondi à 2’670 fr., débours et TVA compris. Le bénéficiaire de l'assistance judiciaire est, dans la mesure de l'art. 123 CPC, tenu au remboursement de l’indemnité de son conseil d’office, mise à la charge de l'Etat. b) Les frais judiciaires de deuxième instance, arrêtés à 400 fr. (art. 74a al. 1 TFJC [Tarif du 28 septembre 2010 des frais judiciaires civils, RSV 270.11.5]), sont mis à la charge des recourants qui succombent, solidairement entre eux (art. 106 al. 1 et 3 CPC, applicable par renvoi des art. 450f CC et 12 LVPAE). Obtenant gain de cause, l'intimé, qui a procédé par l’intermédiaire d’un mandataire professionnel, a droit à des dépens de deuxième instance qu'il convient d'arrêter à 3’000 fr. et de mettre à la charge des recourants, solidairement entre eux (art. 95, 96 et 106 al. 1 CPC).</w:t>
      </w:r>
    </w:p>
    <w:p>
      <w:r>
        <w:t>- 16 - Par ces motifs, la Chambre des curatelles du Tribunal cantonal, statuant à huis clos, prononce : I. Les recours sont rejetés dans la mesure où ils sont recevables. II. L’ordonnance est confirmée. III. Les frais judiciaires de deuxième instance, arrêtés à 400 fr. (quatre cents francs), sont mis à la charge des recourants B.C.________ et A.C.________, solidairement entre eux. IV. L’indemnité d’office de Me Julie André, conseil d’E.________, est arrêtée à 2'670 fr. (deux mille six cent septante francs), TVA et débours compris. V. Le bénéficiaire de l’assistance judiciaire est, dans la mesure de l’art. 123 CPC, tenu au remboursement de l’indemnité au conseil d’office mise à la charge de l’Etat. VI. Les recourants B.C.________ et A.C.________, solidairement entre eux, doivent verser à l’intimé E.________ la somme de 3'000 fr. (trois mille francs), à titre de dépens de deuxième instance. VII. L'arrêt motivé est exécutoire. La présidente : La greffière : Du 28 juillet 2015</w:t>
      </w:r>
    </w:p>
    <w:p>
      <w:r>
        <w:t>- 17 - Le dispositif de l'arrêt qui précède est communiqué par écrit aux intéressés. La greffière : Du L'arrêt qui précède, dont la rédaction a été approuvée à huis clos, est notifié à : - Me Cyrielle Cornu (pour M. B.C.________), - Me Natasa Djurdjevac Heinzer (pour Mme A.C.________), - Me Julie André (pour M. E.________),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