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LQ24.056292 vom 23. September 2025</w:t>
      </w:r>
    </w:p>
    <w:p>
      <w:r>
        <w:t>VD Tribunal cantonal, 2025-09-23, FR</w:t>
      </w:r>
    </w:p>
    <w:p>
      <w:r>
        <w:rPr>
          <w:b/>
        </w:rPr>
        <w:t xml:space="preserve">Quelle: </w:t>
      </w:r>
      <w:r>
        <w:t>https://mcp.opencaselaw.ch/entscheid/vd_gerichte_LQ24.056292</w:t>
      </w:r>
    </w:p>
    <w:p>
      <w:r>
        <w:t>FR: VD_GERICHTE LQ24.056292 du 23 septembre 2025</w:t>
      </w:r>
    </w:p>
    <w:p>
      <w:r>
        <w:t>IT: VD_GERICHTE LQ24.056292 del 23 settembre 2025</w:t>
      </w:r>
    </w:p>
    <w:p>
      <w:pPr>
        <w:pStyle w:val="Heading2"/>
      </w:pPr>
      <w:r>
        <w:t>Erwägungen</w:t>
      </w:r>
    </w:p>
    <w:p>
      <w:r>
        <w:rPr>
          <w:b/>
        </w:rPr>
        <w:t>E. 1</w:t>
      </w:r>
    </w:p>
    <w:p>
      <w:r>
        <w:t>A.W.________, né à [...] le [...] 1971, de nationalité suisse, et P.________ (ci-après : l’intimée), née à [...] le [...] 1984, de nationalité française, sont les parents non mariés de l’enfant O.W.________, née à [...] le [...] 2021. Selon le certificat de naissance délivré à ses parents, l’enfant portait à sa naissance les prénoms [...]. Son troisième prénom a été modifié en « [...] » dans les registres de l’état civil dès le 8 février 2022. Par déclaration du 15 janvier 2022, les parties ont soumis leur fille à l’autorité parentale commune. Chacune d’elles était déjà le parent d’un autre enfant, issu d’une précédente relation : le recourant de [...], née le [...] 2004, et l’intimée de [...], née le [...] 2007.</w:t>
      </w:r>
    </w:p>
    <w:p>
      <w:r>
        <w:rPr>
          <w:b/>
        </w:rPr>
        <w:t>E. 2</w:t>
      </w:r>
    </w:p>
    <w:p>
      <w:r>
        <w:t>Le 12 décembre 2024, le recourant a saisi la justice de paix d’une requête de mesures provisionnelles et superprovisionnelles tendant à faire ordonner à l’intimée de présenter l’enfant au domicile des parties au plus tard le lendemain à 17 heures, à faire fixer le lieu de résidence de l’enfant chez son père et à accorder un droit de visite de la mère. A l’appui de cette requête, le recourant alléguait que l’intimée n’était toujours pas rentrée avec l’enfant de ses vacances en [...], qui devaient durer jusqu’au</w:t>
      </w:r>
    </w:p>
    <w:p>
      <w:r>
        <w:rPr>
          <w:b/>
        </w:rPr>
        <w:t>E. 2.1</w:t>
      </w:r>
    </w:p>
    <w:p>
      <w:r>
        <w:t>Une décision en relation avec les preuves est une ordonnance d’instruction au sens de l'art. 124 CPC (Code de procédure civile du 19 décembre 2008 ; RS 272) (CCUR 17 février 2023/36 ; CCUR 14 juin 2022/100 ; Jeandin, Commentaire romand, Code de procédure civile, Bâle 2019, 2e éd. [ci-après : CR CPC], n. 14 ad art. 319 CPC, p. 1545). Contre une telle ordonnance, le recours des art. 319 ss CPC, applicables à titre de droit cantonal supplétif par renvoi de l'art. 450f CC (ATF 140 III 167 consid.</w:t>
      </w:r>
    </w:p>
    <w:p>
      <w:r>
        <w:rPr>
          <w:b/>
        </w:rPr>
        <w:t>E. 2.2</w:t>
      </w:r>
    </w:p>
    <w:p>
      <w:r>
        <w:t>La notion de préjudice difficilement réparable de l'art. 319 let. b ch. 2 CPC est plus large que celle de dommage irréparable de l'art. 93 al. 1 let. a LTF (loi sur le Tribunal fédéral du 17 juin 2005 ; RS 173.110) (TF 5A_92/2915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 Jeandin, CR CPC, op. cit., n. 22 ad art. 319 CPC, p. 1547 et les références citées ; Hohl, Procédure civile, tome II, 2e éd., Berne 2010, n. 2485 p. 449). En outre, un préjudice difficilement réparable de nature juridique ne doit pas pouvoir être ultérieurement réparé ou entièrement réparé par une décision finale favorable au recourant (ATF 134 III 188 consid. 2.1 et 2.2 ; sur le tout, cf. CCUR 13 décembre 2021/258 consid. 3.1.2 ; CREC 8 mars 2021/65 consid. 6.1). Les ordonnances de preuves et le refus d'ordonner une preuve doivent en règle générale être contestés dans le cadre du recours ou de l'appel contre la décision finale (CREC 12 octobre 2020/235 consid. 2.2 ; CREC 17 octobre 2016/419 consid. 4.1 et les références citées ; CREC 26 avril 2016/138).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w:t>
      </w:r>
    </w:p>
    <w:p>
      <w:r>
        <w:t>- 11 - (TF 4A_248/2014 du 27 juin 2014 consid. 1.2.3 ; 4A 339/2013 du 8 octobre 2013 consid. 2 ; 5A 315/2012 du 28 août 2012 consid. 1.2.1). On retiendra ainsi l'existence d'un préjudice difficilement réparable lorsque, comme dit ci-dessus, ledit préjudice ne pourra plus être réparé par un jugement au fond favorable au recourant, ce qui surviendra, par exemple, lorsqu'une décision ordonne une expertise psychiatrique dans le cadre d'une affaire relative à la protection de l'enfant ou de l'adulte, dès lors que cette mesure porte atteinte de manière irréversible à la liberté personnelle (art.10 al. 2 Cst. [Constitution fédérale de la Confédération suisse du 18 avril 1999 ; RS 101]) (TF 5A_1051/2020 du 28 avril 2021 consid. 1.1 et 3.2 ; 5A_87/2019 du 26 mars 2019 consid. 1.2 ; 5A_211/2014 du 14 juillet 2014 consid. 1 ; 5A_655/2013 du 29 octobre 2013).</w:t>
      </w:r>
    </w:p>
    <w:p>
      <w:r>
        <w:rPr>
          <w:b/>
        </w:rPr>
        <w:t>E. 2.3</w:t>
      </w:r>
    </w:p>
    <w:p>
      <w:r>
        <w:t>En l’espèce, le recourant reproche aux premiers juges de ne pas avoir ordonné d’expertise pédopsychiatrique au motif que cette mesure était prématurée avant les conclusions du rapport d’évaluation, alors que, selon le recourant, l’évaluation et l’expertise pédopsychiatrique ne poursuivraient pas les mêmes buts et qu’il avait exprimé des inquiétudes sur les capacités parentales de la mère, notamment en lien avec la consommation d’alcool et des comportements violents. Le recours visant le refus de mise en œuvre d’une expertise a été déposé en temps utile par une partie à la procédure et satisfait aux exigences de motivation. Toutefois, conformément à la jurisprudence précitée, il y a lieu de constater qu’en refusant de mettre en œuvre une expertise pédopsychiatrique à ce stade de la procédure, l’ordonnance attaquée ne cause pas de préjudice difficilement réparable au recourant, dès lors que celui-ci pourra toujours interjeter un recours contre la décision finale qui interviendra à l’issue de l’enquête et requérir, dans ce cadre, la mesure d’instruction sollicitée. Faute de préjudice difficilement réparable, le recours est irrecevable sur ce point.</w:t>
      </w:r>
    </w:p>
    <w:p>
      <w:r>
        <w:t>- 12 - 3. Fixation provisoire des droits parentaux 3.1 Le recours de l'art. 450 CC, applicable par renvoi de l’art. 314 al. 1 CC, est ouvert à la Chambre des curatelles (art. 8 LVPAE et 76 al. 2 LOJV) contre toute décision de l’autorité de protection relative aux mesures provisionnelles (Droese, Basler Kommentar, Zivilgesetzbuch I, Art. 1-456 ZGB [CC],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n. 42 ad art. 450 CC, p. 2940).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Conformément à l’art. 450d CC, la Chambre des curatelles donne à l’autorité de protection l’occasion de prendre position (al. 1),</w:t>
      </w:r>
    </w:p>
    <w:p>
      <w:r>
        <w:t>- 13 - cette autorité pouvant, au lieu de prendre position, reconsidérer sa décision (al. 2). 3.2 Motivé et interjeté en temps utile par le père de la mineure, partie à la procédure, le recours est recevable, sous réserve du point ci- dessous. Les pièces produites en deuxième instance sont également recevables, si tant est qu’elles ne figurent pas déjà au dossier. Concernant le lieu de résidence de l’enfant et la garde de fait, la décision attaquée ne règle ces questions que pour la durée de l’enquête, c’est-à-dire jusqu’à la décision finale qui sera prise sur la base de toutes les mesures d’instruction qui vont encore être administrées. La conclusion III/III de l’acte de recours, qui tend à faire dire que la garde sera réglée selon le résultat des enquêtes et expertises à intervenir, ne remet donc pas en cause le chiffre III du dispositif de l’ordonnance attaquée et concerne la période que celle-ci ne règle pas ; cette conclusion est donc irrecevable. Au demeurant, le recourant ne la motive pas, ce qui la rend irrecevable à ce titre également. Consultée, l’autorité de protection a, par courrier du 11 août 2025, indiqué qu’elle renonçait à se déterminer et, implicitement, à reconsidérer sa décision, à laquelle elle se référait intégralement. Également interpellée, l’intimée a déposé une réponse le 18 août 2025, concluant au rejet des conclusions du recours. 4. 4.1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- 14 - l’affaire (Poudret/Haldy/Tappy, Procédure civile vaudoise, 3e éd., Lausanne 2002, nn. 3 et 4 ad art. 492 CPC-VD, p. 763, point de vue qui demeure valable sous l’empire du nouveau droit). 4.2 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 4.3 En l’espèce, le recourant, assisté de son conseil, a été entendu à l’audience de la justice de paix du 16 mai 2025. La mère, dispensée à sa demande de comparution personnelle, y a été représentée par son conseil et l’enfant, âgée de 4 ans, est encore trop jeune pour être entendue. L’ordonnance étant formellement correcte, elle peut être examinée sur le fond. 5.</w:t>
      </w:r>
    </w:p>
    <w:p>
      <w:r>
        <w:rPr>
          <w:b/>
        </w:rPr>
        <w:t>E. 5</w:t>
      </w:r>
    </w:p>
    <w:p>
      <w:r>
        <w:t>La justice de paix a tenu une audience le 10 janvier 2025, en présence des deux parents et de leur conseil respectif. A.W.________ a sollicité la garde exclusive sur sa fille et que la mère soit mise au bénéfice d’un droit de visite. Il a contesté l’ensemble des accusations de la mère à son égard et soutenu que la mère frappait sa fille. Il a confirmé les conclusions de son écriture du 17 décembre 2024. P.________ a déclaré qu’elle s’était mise en sécurité avec sa fille, en raison d’épisodes de violences conjugales. Elle se trouvait actuellement au Centre [...] et envisageait de trouver un logement avec sa fille. Elle souhaitait avoir la garde d’O.W.________ et que le père bénéficie d’un droit de visite médiatisé. Selon l’intimée, le père solliciterait régulièrement des câlins et bisous sur la bouche de la part de sa fille, ce qu’elle accepterait sur chantage du père. Toujours selon la mère, A.W.________ s’en serait également pris à O.W.________ lors d’un repas. Après cet événement, la communication entre les parents avait été rompue. La mère a contesté tout acte de violence de sa part envers O.W.________. A l’issue de cette audience, la juge de paix a informé les parties qu’une enquête en fixation des droits parentaux était ouverte, qu’une enquête sociale serait confiée à l’UEMS et qu’une ordonnance de mesures provisionnelles serait rendue.</w:t>
      </w:r>
    </w:p>
    <w:p>
      <w:r>
        <w:t>- 7 -</w:t>
      </w:r>
    </w:p>
    <w:p>
      <w:r>
        <w:rPr>
          <w:b/>
        </w:rPr>
        <w:t>E. 5.1</w:t>
      </w:r>
    </w:p>
    <w:p>
      <w:r>
        <w:t>Le recourant reproche à la justice de paix de lui avoir retiré provisoirement l’autorité parentale sur sa fille O.W.________, mesure qui équivaut à la perte d’un droit élémentaire de la personnalité, alors que le conflit qui l’oppose à l’intimée ne fait, selon lui, pas encore de lui un père défaillant et qu’il serait à craindre que « si l’autorité parentale de l’enfant</w:t>
      </w:r>
    </w:p>
    <w:p>
      <w:r>
        <w:t>- 15 - est attribuée exclusivement à sa mère, la fillette échappe totalement à son père ».</w:t>
      </w:r>
    </w:p>
    <w:p>
      <w:r>
        <w:rPr>
          <w:b/>
        </w:rPr>
        <w:t>E. 5.2</w:t>
      </w:r>
    </w:p>
    <w:p>
      <w:r>
        <w:t>Il ne faut pas confondre le retrait de l’autorité parentale, mesure de protection prévue à l’art. 311 CC, avec l’attribution de l’autorité parentale exclusive à l’un des parents dans le cadre de l’attribution ou de la modification de l’autorité parentale en application des art. 298b et 298d CC.</w:t>
      </w:r>
    </w:p>
    <w:p>
      <w:r>
        <w:rPr>
          <w:b/>
        </w:rPr>
        <w:t>E. 5.2.1</w:t>
      </w:r>
    </w:p>
    <w:p>
      <w:r>
        <w:t>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Si le père et la mère sont déchus de l'autorité parentale, un tuteur est nommé à l'enfant (art. 311 al. 2 CC). Le retrait de l'autorité parentale présuppose une incapacité de fait durable totale ; à défaut, il sera normalement possible de faire face à des manquements ponctuels ou sectoriels par une curatelle fondée sur l'art. 308 CC (Guide pratique COPMA 2017, n. 2.101, p. 66). Est déterminant le fait que les parents ne sont objectivement pas ou plus en mesure d'assurer correctement la responsabilité générale de l'enfant que leur confèrent les art. 301 à 306 CC.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Ainsi, les manquements graves aux devoirs doivent correspondre à une violation importante des obligations qui pèsent sur les parents. Le comportement de ceux-ci n'est toutefois pas à lui seul décisif il faut toujours examiner quel danger il en résulte pour l'enfant et quel est le degré de gravité de ce</w:t>
      </w:r>
    </w:p>
    <w:p>
      <w:r>
        <w:t>- 16 - danger (Guide pratique COPMA 2017, n. 2.192, p. 66).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 motif analogue » au sens de l'art. 311 al. 1 ch. 1 CC (ATF 119 Il 9 consid. 4 ; TF 5C.262/2003 du 8 avril 2004 consid. 3.3).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(Guide pratique COPMA 2017, n. 2.100, p. 66 ; Hegnauer, Droit suisse de la filiation et de la famille, 4e éd., Berne 1998, adaptation française par Meier, n. 27.46, p. 197 ; Breitschmid, BSK ZGB I, op. cit., nn. 6 ss ad art. 311/312 CC, pp. 1719 ss). Le principe de la proportionnalité de l'intervention commande une attention particulière (ATF 119 Il 9 consid. 4a et les références citées). Le retrait de l'autorité parentale présuppose donc que l'une des hypothèses prévues à l'art. 311 al. 1 ch. 1 ou 2 CC soit satisfaite et que le retrait de la garde ou d'autres mesures de protection de l'enfant se révèlent insuffisantes (TF 5A_213/2012 du 19 juin 2012).</w:t>
      </w:r>
    </w:p>
    <w:p>
      <w:r>
        <w:rPr>
          <w:b/>
        </w:rPr>
        <w:t>E. 5.2.2</w:t>
      </w:r>
    </w:p>
    <w:p>
      <w:r>
        <w:t>Aux termes de l'art. 298d al. 1 CC, à la requête du père ou de la mère, de l'enfant ou d'office, l'autorité de protection de l'enfant modifie l'attribution de l'autorité parentale lorsque des faits nouveaux importants l'exigent pour le bien de l'enfant. L'autorité parentale conjointe est la règle depuis l'entrée en vigueur le 1er juillet 2014 des nouvelles dispositions du Code civil relatives à l'autorité parentale (RO 2014 p. 357), ce indépendamment de l'état civil des parents (ATF 142 III 1 consid. 3.3). Il n'est qu'exceptionnellement</w:t>
      </w:r>
    </w:p>
    <w:p>
      <w:r>
        <w:t>- 17 - dérogé à ce principe, lorsqu'il apparaît que l'attribution de l'autorité parentale exclusive à l'un des parents est nécessaire pour le bien de l'enfant (ATF 143 III 361 consid. 7.3.2, JdT 2018 Il 137 ; Message du 16 novembre 2011 concernant une modification du Code civil suisse [autorité parentale], FF 2011 pp. 8339-8340). Le critère du bien de l'enfant, auquel les art. 298 al. 1 CC et 133 al. 2 CC font expressément référence, reste déterminant (Meier/Stettler, Droit de la filiation, 6e éd., Genève/Zurich/Bâle 2019, n. 669 et 671, pp. 446 et 447). Le Tribunal fédéral a retenu que pour s'écarter de l'autorité parentale conjointe et attribuer l'autorité parentale à l'un des parents seulement, selon les art. 298 ss CC, notamment de l'art. 298d al. 1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Il 130). L'autorité parentale conjointe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 5 novembre 2020 consid. 3). Cependant, pour retirer l'autorité parentale conjointe à l'un des parents, il est, dans tous les cas, nécessaire que le conflit ou le défaut de</w:t>
      </w:r>
    </w:p>
    <w:p>
      <w:r>
        <w:t>- 18 -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factuelles étant nécessaires à cet égard. De plus, il ne suffit pas que les rapports entre parents soient empreints d'inimitié et de mauvaise humeur et que la communication entre eux soit rompue pour justifier de s'écarter de l'attribution de l'autorité parentale commune, sans qu'il soit établi que le bien de l'enfant en est concrètement affecté, par exemple qu'à la suite du conflit parental, l'enfant soit psychiquement touché (TF 5A_903/2016 du 17 mai 2017). Il faut, au surplus, que l'attribution ou le maintien de l'autorité parentale exclusive apaise la situation, respectivement empêche une aggravation imminente (ATF 141 III 472 précité consid. 4.6, JdT 2016 Il 130 p. 135 ; TF 5A_809/2018 du 18 décembre 2019 consid. 4.2.2).</w:t>
      </w:r>
    </w:p>
    <w:p>
      <w:r>
        <w:t>- 19 -</w:t>
      </w:r>
    </w:p>
    <w:p>
      <w:r>
        <w:rPr>
          <w:b/>
        </w:rPr>
        <w:t>E. 5.2.3</w:t>
      </w:r>
    </w:p>
    <w:p>
      <w:r>
        <w:t>Selon l’art. 445 al. 1 CC, applicable en matière de protection de l’enfant par renvoi de l’art. 314 al. 1 CC, l’autorité de protection prend, d’office ou sur demande d’une partie, toutes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5.3</w:t>
      </w:r>
    </w:p>
    <w:p>
      <w:r>
        <w:t>Dans le cas présent, la justice de paix a motivé le retrait provisoire de l’autorité parentale du père par l’agression que le recourant paraissait avoir commise contre la mère de l’enfant le 21 janvier 2025. Le recourant ne conteste pas la matérialité des faits à ce stade, ayant admis avoir fait une « connerie » et adressé une lettre d’excuse à la mère de l’enfant à l’audience du 16 mai 2025. Il est certain qu’une telle agression est susceptible de constituer, suivant l’intention de l’auteur et les conséquences qu’elle a eues, une violation grave des devoirs envers l’enfant elle-même, au sens de l’art. 311 al. 1 ch. 2 C, dès lors que la volonté de priver définitivement l’enfant de sa mère, si elle est avérée, peut apparaître telle. Cet événement dénote également une forte tendance à la violence, qui pourrait entrer dans les prévisions de l’art. 311 al. 1 ch. 1 CC. En l’état du dossier, les intentions du recourant au moment des faits qui lui sont reprochés n’ont fait l’objet d’aucune instruction et aucun élément du dossier ne permet d’apprécier concrètement les conséquences que ces faits ont eues sur l’enfant. Sur cette base, on peut</w:t>
      </w:r>
    </w:p>
    <w:p>
      <w:r>
        <w:t>- 20 - difficilement retenir que le maintien de l’autorité parentale au père pendant la durée de l’enquête serait propre à compromettre le développement de l’enfant. En revanche, il paraît vraisemblable que l’intimée, qui a demandé à être dispensée de comparution pour ce motif, soit incapable d’être confrontée au recourant et qu’une éventuelle collaboration entre les deux parents ne puisse se faire directement. Prévoir une communication pour toute décision concernant l’enfant par les conseils des parties paraît peu opportun. Le recourant est en effet incarcéré depuis le 21 janvier 2025, vraisemblablement pour une longue durée au vu des faits qui lui sont reprochés. Compte tenu de la gravité des faits et quand bien même le recourant n’est pas encore jugé, on ne saurait exiger de la mère qu’elle continue à avoir des contacts avec le père au sujet des questions relatives à O.W.________. Il est en effet rendu suffisamment vraisemblable que la mère a été victime d’une agression par le recourant d’une violence telle qu’elle rend impossible, en tout cas inexigible, la collaboration des deux parents pour les soins et l’éducation de l’enfant. Cette situation justifie l’attribution provisoire de l’autorité parentale exclusive à la mère, en application des art. 298d al. 1 et 445 al. 1 CC. 6.</w:t>
      </w:r>
    </w:p>
    <w:p>
      <w:r>
        <w:rPr>
          <w:b/>
        </w:rPr>
        <w:t>E. 6</w:t>
      </w:r>
    </w:p>
    <w:p>
      <w:r>
        <w:t>Le 21 janvier 2025, A.W.________, porteur d’une arme blanche et d’une arme à feu, a agressé P.________ dans les environs du Centre [...]. L’intimée a dû être hospitalisée et opérée d’urgence. Une instruction pénale a été ouverte contre le recourant. Depuis lors, il est placé en détention provisoire. Par requête de mesures superprovisionnelles et provisionnelles du 24 janvier 2025, P.________, par son conseil, a requis que le lieu de résidence de l’enfant soit fixé au domicile de sa mère, que l’autorité parentale sur O.W.________ soit provisoirement attribuée exclusivement à P.________ et qu’aucun droit de visite père-fille ne soit octroyé. Par déterminations du même jour, le conseil de A.W.________ a conclu au rejet de la conclusion en attribution de l’autorité parentale exclusive à la mère, relevant que, bien que détenu, il ne porterait pas atteinte aux prérogatives parentales exercées par l’intimée, les éventuelles autorisations requises pouvant en effet lui être transmises par son conseil, comme cela avait d’ailleurs été le cas avec l’autorisation requise auprès du recourant par l’intimée à l’audience du 10 janvier 2025, laquelle avait ainsi pu être remise à la mère le 14 janvier suivant. Par avis du 27 janvier 2025, la juge de paix a informé les parties que, compte tenu des faits survenus le 21 janvier précédent, elle ne rendrait pas de décision pour faire suite à son audience du 10 janvier 2025, mais qu’elle soumettrait le dossier à une prochaine séance de la justice de paix.</w:t>
      </w:r>
    </w:p>
    <w:p>
      <w:r>
        <w:rPr>
          <w:b/>
        </w:rPr>
        <w:t>E. 6.1</w:t>
      </w:r>
    </w:p>
    <w:p>
      <w:r>
        <w:t>Ensuite, le recourant soutient que la justice de paix a violé son droit au respect de la vie privée et familiale, tel que garanti à l’art, 8 CEDH (Convention de sauvegarde des droits de l’homme et des libertés fondamentales [Convention européenne des droits de l’homme] du 4 novembre 1950, entrée en vigueur pour la Suisse le 28 novembre 1974 ; RS 0.101), en suspendant son droit de visite, alors que les visites en détention sont encadrées, que l’enfant ne courrait aucun danger à le voir et qu’à son âge, elle pourrait perdre rapidement ses souvenirs et tout lien avec son père si elle était empêchée de voir celui-ci.</w:t>
      </w:r>
    </w:p>
    <w:p>
      <w:r>
        <w:rPr>
          <w:b/>
        </w:rPr>
        <w:t>E. 6.2.1</w:t>
      </w:r>
    </w:p>
    <w:p>
      <w:r>
        <w:t>Selon l'art. 273 al. 1 CC, le père ou la mère qui ne détient pas l'autorité parentale ou la garde ainsi que l'enfant mineur ont</w:t>
      </w:r>
    </w:p>
    <w:p>
      <w:r>
        <w:t>- 21 -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op. cit.,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w:t>
      </w:r>
    </w:p>
    <w:p>
      <w:r>
        <w:t>- 22 - néanmoins justifiée lorsqu'il y a lieu d'admettre, au regard des circonstances, que l'octroi d'un droit de visite compromet le bien de l'enfant (ATF 131 III 209 consid. 5).</w:t>
      </w:r>
    </w:p>
    <w:p>
      <w:r>
        <w:rPr>
          <w:b/>
        </w:rPr>
        <w:t>E. 6.2.2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w:t>
      </w:r>
    </w:p>
    <w:p>
      <w:r>
        <w:rPr>
          <w:b/>
        </w:rPr>
        <w:t>E. 6.2.3</w:t>
      </w:r>
    </w:p>
    <w:p>
      <w:r>
        <w:t>Le fait que le parent soit incarcéré n’exclut pas en soi l’organisation d’un contact avec l’enfant, mais peut constituer un motif pour son refus ou sa suppression s’il n’est pas possible d’aménager l’exercice des relations personnelles d’une manière conforme au bien de</w:t>
      </w:r>
    </w:p>
    <w:p>
      <w:r>
        <w:t>- 24 - l’enfant. L’existence de justes motifs au sens de l’art. 274 al. 2 CC est en général admise lorsque le parent est incarcéré pour un délit commis à l’encontre de l’enfant ou de l’autre parent (ATF 119 II 9 ; Cottier, in Pichonnaz/Foëx/Fountoulakis [éd.], Commentaire romand, Code civil I, Art. 1-456 CC, 2e éd., Bâle 2024, n. 14 ad art. 274 CC, p. 1978). Le droit de visite d’un père qui a tué la mère de ses enfants peut être maintenu si les visites sont bénéfiques à ceux-ci (cf. ATF 119 II 9 ; Meier/Stettler, op. cit., p. 661, note infrapaginale 2368).</w:t>
      </w:r>
    </w:p>
    <w:p>
      <w:r>
        <w:rPr>
          <w:b/>
        </w:rPr>
        <w:t>E. 6.3</w:t>
      </w:r>
    </w:p>
    <w:p>
      <w:r>
        <w:t>Dans le cas présent, on ignore tout, en l’état, de ce que l’enfant sait des causes de l’hospitalisation de sa mère en janvier 2025 et de la manière dont elle réagit à la situation. En l’absence du moindre renseignement à ce sujet et au vu de la gravité des faits reprochés au recourant, il est prudent de ne pas confronter la mineure avec son père pour l’instant, et par conséquent, de suspendre l’exercice du droit de visite. Dans les motifs de l’ordonnance attaquée, la justice de paix a précisé qu’elle suspendait le droit de visite du recourant à titre provisoire, « à tout le moins jusqu’à réception des conclusions de l’UEMS ». Au chiffre II du dispositif de sa décision, l’autorité de protection a en outre fixé à l’UEMS un délai de six mois pour déposer son rapport. Il est vrai que, dans ce laps de temps, la suspension des relations personnelles pourrait aggraver, chez une enfant de 4 ans, le détachement d’avec son père que l’interruption du droit de visite depuis janvier 2025 a vraisemblablement déjà entraînée. Mais, dans les circonstances présentes, cet éventuel détachement ou l’aggravation de celui-ci ne paraît pas plus dommageable pour l’enfant qu’une confrontation avec le père organisée sans les vérifications requises. C’est dès lors avec raison que la justice de paix a suspendu provisoirement le droit de visite du recourant, conformément à l’intérêt supérieur de l’enfant, et qu’elle a fixé un délai de six mois à l’UEMS pour déposer un rapport d’évaluation, sur le vu duquel elle reverra le principe et les modalités des relations personnelles entre le recourant et sa fille. Il</w:t>
      </w:r>
    </w:p>
    <w:p>
      <w:r>
        <w:t>- 25 - appartiendra à la justice de paix d’attirer l’attention de l’UEMS sur la nécessité de respecter ce délai fixé et, si ce délai devait poser un problème, d’exiger de l’UEMS un rapport préliminaire limité à la question de la réglementation provisoire des relations personnelles, afin que cette question puisse être revue. Sous cette réserve, qui n’appelle toutefois aucune réforme de la décision attaquée, le grief du recourant est mal fondé. 7.</w:t>
      </w:r>
    </w:p>
    <w:p>
      <w:r>
        <w:rPr>
          <w:b/>
        </w:rPr>
        <w:t>E. 7</w:t>
      </w:r>
    </w:p>
    <w:p>
      <w:r>
        <w:t>Le 16 mai 2025, la justice de paix a entendu le recourant, assisté de son conseil. La mère, dispensée à sa demande de comparution personnelle, y a été représentée par son conseil. A.W.________ s’est opposé à ce que l’autorité parentale lui soit retirée, ne voyant pas pourquoi elle devrait l’être, puisqu’il n’était pas hors d’état d’exercer son autorité parentale et qu’il n’y avait pas d’urgence à statuer sur ce point. Il tenait par ailleurs à rester impliquer dans la vie de</w:t>
      </w:r>
    </w:p>
    <w:p>
      <w:r>
        <w:t>- 8 - sa fille. Il a reconnu avoir fait une « connerie » le 21 janvier 2025 et blessé des gens ; il avait honte de lui et avait écrit une lettre d’excuse à P.________. Il a requis la nomination d’un curateur de représentation en faveur de l’enfant ainsi que la mise en œuvre d’une expertise pédopsychiatrique tant sur la question de l’autorité parentale que sur la question de la prise en charge d’O.W.________, respectivement du droit de visite. Le père a refusé que la garde d’O.W.________ soit attribuée à sa mère et qu’il soit statué sur le droit de visite avant la reddition de l’expertise pédopsychiatrique. Il a par ailleurs affirmé qu’il pensait que l’adresse électronique de la mère qu’il avait communiquée à l’école était correcte et qu’ils auraient en outre discuté ensemble du lieu de scolarisation. Pour sa part, le conseil de P.________ a déclaré, pièce à l’appui, que le père avait inscrit l’enfant à l’école sans en informer la mère, indiquant une adresse électronique erronée de celle-ci. Elle a souligné que les faits qui s’étaient produits représentaient une grave violation des droits parentaux. L’autorité parentale devait être attribuée exclusivement à la mère, dès lors qu’une autorité parentale ne pouvait s’exercer par l’intermédiaire des conseils des parties. Il n’était pas non plus envisageable que le père obtienne des informations concernant l’endroit où se trouvait O.W.________. Le droit de visite du père ne pouvait s’exercer en raison de sa détention provisoire. Me Zakia Arnouni s’est opposée à ce qu’un curateur de représentation soit nommé à l’enfant ainsi qu’à la mise en œuvre d’une expertise pédopsychiatrique. Elle a requis qu’un délai soit accordé pour proposer des noms de curateur de représentation, le cas échéant. En d roit : 1. Le recours est dirigé contre une ordonnance de mesures provisionnelles portant sur l’autorité parentale, la garde et le droit de visite sur l’enfant du recourant, en application des art. 296 ss, 273 ss, 311</w:t>
      </w:r>
    </w:p>
    <w:p>
      <w:r>
        <w:t>- 9 - et 445 CC (Code civil suisse du 10 décembre 1907 ; RS 210). Le recours concerne également le refus de la mise en œuvre d’une expertise pédopsychiatrique. Les voies de droit – en particulier du point de vue des conditions de recevabilité du recours – n’étant pas identiques selon que le grief concerne, d’une part, le refus de mettre en œuvre une expertise ou, d’autre part, la fixation provisoire des droits parentaux, il convient d’examiner ces aspects successivement. 2. Refus de mise en œuvre d’une expertise pédopsychiatrique</w:t>
      </w:r>
    </w:p>
    <w:p>
      <w:r>
        <w:rPr>
          <w:b/>
        </w:rPr>
        <w:t>E. 7.1</w:t>
      </w:r>
    </w:p>
    <w:p>
      <w:r>
        <w:t>Le recourant reproche encore à la justice de paix d’avoir refusé à tort de désigner un curateur de représentation à l’enfant pour la suite de l’enquête. Il évoque aussi la procédure pénale en cours, pour laquelle il serait indispensable, selon lui, que l’enfant soit représentée de manière indépendante.</w:t>
      </w:r>
    </w:p>
    <w:p>
      <w:r>
        <w:rPr>
          <w:b/>
        </w:rPr>
        <w:t>E. 7.2</w:t>
      </w:r>
    </w:p>
    <w:p>
      <w:r>
        <w:t>Aux termes de l'art. 314abis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à des questions importantes concernant les relations personnelles avec l'enfant (al. 2 ch. 2). Le curateur peut faire des propositions et agir en justice (al. 3). Dès lors que la décision de nommer un curateur à l'enfant suppose une pesée d'intérêts de la part de l'autorité cantonale, le Tribunal fédéral fait preuve de retenue en revoyant sa décision (ATF 135 III 121 consid. 2 ; 133 III 201 consid. 5.4). Quant à l'art. 299 CPC, il prévoit la représentation de l'enfant s'agissant des procédures matrimoniales. La formulation de l'art. 314abis CC s'appuie sur l'art. 299 CPC relatif à la représentation de l'enfant dans la procédure de droit matrimonial. Cette norme constitue le fondement d'une représentation indépendante de l'enfant dans toutes les procédures qui entrent dans le domaine de compétence de l'autorité de protection de l'enfant (Cottier,</w:t>
      </w:r>
    </w:p>
    <w:p>
      <w:r>
        <w:t>- 26 - Commentaire du droit de la famille [CommFam], Protection de l’adulte, Berne 2013, n. 2 ad art. 314abis CC). Le juge doit examiner d'office si l'enfant doit être représenté par un curateur. La désignation d'un curateur n'a néanmoins pas lieu automatiquement et le juge n'est pas tenu de rendre une décision formelle à ce propos ; il s'agit d'une possibilité qui relève du pouvoir d'appréciation du juge (TF 5A_459/2015 du 13 août 2015 consid. 5.1). Selon les art. 314abis al. 2 CC et 299 al. 2 CPC, le juge examine si la nomination d’un curateur de représentation est nécessaire. Ces normes n’imposent pas au juge de désigner automatiquement un représentant ni de rendre une décision formelle à ce sujet. L’art. 314abis CC ne contient pas d’alinéa correspondant à l’art. 299 al. 3 CC relatif à l’obligation pour le tribunal de désigner un représentant sur demande de l’enfant capable de discernement. Il ressort des travaux parlementaires que cette absence constitue un silence qualifié du législateur. Ainsi, dans le cadre de mesures de protection de l’enfant, l’art. 314abis CC impose uniquement à l’autorité de protection de trancher, d’office ou sur requête, la question du curateur de représentation selon son pouvoir d’appréciation (TF 5A_232/2016 du 6 juin 2016 consid. 4). Une curatelle de représentation peut en particulier entrer en ligne de compte lorsque les parents prennent des conclusions divergentes s’agissant de l’autorité parentale (art. 314a al. 2 ch. 2 CC ; 299 al. 2 let. a ch. 1 CPC). Toutefois, même dans ce cas, l’autorité a uniquement un devoir de vérifier si la désignation d’un curateur à l’enfant est nécessaire, non une obligation d’instituer une curatelle de représentation à l’enfant ; partant, l’autorité dispose d’une marge d’appréciation dans ce domaine (TF 5A_625/2023 du 7 août 2024 consid. 3.4.4). Il y a nécessité d’ordonner la représentation de l’enfant, au sens de l’art. 299 al. 1 CPC, lorsque, pour parvenir à une décision finale qui prenne en compte de façon adéquate le bien de l’enfant, la seule application des maximes inquisitoire et d’office n’offre pas de garantie suffisante (cf. Jeandin, CR CPC, op. cit., n. 5 ad art. 299 CPC, p. 1460).</w:t>
      </w:r>
    </w:p>
    <w:p>
      <w:r>
        <w:t>- 27 -</w:t>
      </w:r>
    </w:p>
    <w:p>
      <w:r>
        <w:rPr>
          <w:b/>
        </w:rPr>
        <w:t>E. 7.3</w:t>
      </w:r>
    </w:p>
    <w:p>
      <w:r>
        <w:t>En l’espèce, rien au dossier n’indique que l’enfant serait partie à la procédure pénale ou qu’elle aurait qualité pour s’y constituer. La lésée semble exclusivement être la mère. Il n’est dès lors pas établi qu’il y aura lieu de désigner un curateur à forme de l’art. 306 al. 2 CC pour représenter l’enfant dans la procédure pénale. L’existence de cette procédure est donc de toute manière sans incidence sur le point de savoir si l’enfant doit être pourvue d’un curateur de représentation au sens de l’art. 314abis CC dans le cadre de l’enquête civile. La justice de paix a rejeté provisoirement la requête du recourant tendant à la désignation à l’enfant d’un curateur de représentation à forme de l’art. 314abis CC, au motif que le rapport d’évaluation devrait a priori suffire à renseigner l’autorité de protection. Certes, il est possible que l’enfant, entendue dans le cadre de l’évaluation, soit en mesure d’exprimer clairement sa position et que celle-ci puisse être relayée en procédure par sa mère. Mais il est plus probable que l’enfant aura besoin, pour livrer ses sentiments, d’un rapport de confiance qu’elle pourra difficilement nouer dans le seul cadre des entretiens usuels d’évaluation et qu’il sera pénible pour sa mère, vu l’agression qu’elle paraît avoir subie, de rapporter en procédure le point de vue propre de l’enfant s’il ne coïncide pas entièrement avec le sien. Pour qu’il soit tenu compte effectivement du point de vue de l’enfant, il paraît dès lors nécessaire de désigner un curateur de représentation dans la procédure. Le grief est fondé sur ce point, l’ordonnance entreprise devant ainsi être réformée en ce sens qu’une curatelle de représentation au sens de l’art. 314abis CC est instituée en faveur de l’enfant pour la représenter dans le cadre de la poursuite de la procédure devant la justice de paix, à charge pour cette autorité de désigner, par décision séparée, un avocat ou une avocate comme curateur ou curatrice. 8. 8.1 En conclusion, le recours doit être partiellement admis, dans la mesure de sa recevabilité, et l’ordonnance entreprise réformée à son dispositif dans le sens de l’ajout des chiffres VI.bis et VI.ter, prévoyant</w:t>
      </w:r>
    </w:p>
    <w:p>
      <w:r>
        <w:t>- 28 - qu’une curatelle de représentation au sens de l’art. 314abis CC est instituée en faveur de l’enfant afin de la représenter dans le cadre de la procédure en fixation des droits parentaux instruite par la justice de paix, celle-ci étant chargée de désigner, par décision séparée, un ou une avocat(e) en qualité de curateur ou curatrice de la mineure, après avoir laissé l’occasion aux parties de soumettre des propositions quant à la personne à désigner pour ce mandat. 8.2 8.2.1 Le recourant A.W.________ sollicite l’assistance judiciaire complète pour la procédure de recours. 8.2.2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t>- 29 - 8.2.3 Les conditions cumulatives de l’art. 117 CPC étant remplies, il y a lieu d’accorder au recourant le bénéfice de l’assistance judiciaire pour la procédure de recours, avec effet au 10 juillet 2025, Me Margaux Loretan étant désignée comme conseil d’office. En cette qualité, Me Margaux Loretan a droit à une rémunération équitable pour ses opérations et débours dans la présente procédure. Dans sa liste des opérations du 3 septembre 2025, le conseil précité annonce avoir consacré 8 heures et 50 minutes à ce dossier. Après examen des opérations sur la base du dossier et compte tenu du niveau de difficulté de la cause, il apparaît que cette durée est admissible. Il s’ensuit qu’au tarif horaire de 180 fr. (art. 2 al.1 let. a RAJ), l’indemnité de Me Margaux Loretan peut être fixée à 1'752 fr. 50, à savoir 1'589 fr. 40 (8,83h x 180) à titre d’honoraires, 31 fr. 80 de débours forfaitaires (2 % de 1'589.40 [art. 3bis al. 1 RAJ]) et 131 fr. 30 (8,1 % de 1'621.20) de TVA sur le tout (art. 2 al. 3 RAJ ; art. 25 al. 1 LTVA [loi fédérale du 12 juin 2009 régissant la taxe sur la valeur ajoutée ; RS 641.20]). Cette indemnité sera provisoirement laissée à la charge de l’Etat. 8.3 Les frais judiciaires de deuxième instance sont arrêtés à 750 fr., comprenant 600 fr. d’émolument forfaitaire de décision pour un recours (art. 74a al. 1 TFJC [tarif du 28 septembre 2010 des frais judiciaires civils ; BLV 270.11.5]) et 150 fr. de frais liés à l’ordonnance sur effet suspensif (art. 60 al. 1 TFJC applicable par analogie selon l’art. 7 al. 1 TFJC). Les frais de l’arrêt, par 600 fr., seront mis par 80% (480 fr.) à la charge du recourant A.W.________ et par 20% (120 fr.) à la charge de l’intimée P.________, dès lors que chaque partie succombe partiellement sur le fond (art. 106 al. 2 CPC, applicable par renvoi des art. 314 al. 1, 450f CC et 12 al. 1 LVPAE). Les frais judiciaires liés à la décision sur effet</w:t>
      </w:r>
    </w:p>
    <w:p>
      <w:r>
        <w:t>- 30 - suspensif, par 150 fr., seront en revanche mis à la charge du recourant, qui a succombé sur ce point. La part des frais supportée par le recourant, à savoir 630 fr. (480 fr. + 150 fr.), sera provisoirement laissée à la charge de l’Etat, dans le cadre de l’assistance judiciaire. 8.4 La charge des pleins dépens peut être estimée à 2'000 fr. pour chaque partie. Vu la clé de répartition des frais de deuxième instance (cf. supra consid. 8.3), le recourant devra verser à l’intimée la somme de 1'200 fr. à titre de dépens réduits de deuxième instance (art. 3 al. 4, 9 al. 2 et 19 TDC [tarif des dépens en matière civile du 23 novembre 2010 ; BLV 270.11.6]), l’octroi de l’assistance judiciaire n’impliquant pas la libération de la charge des dépens (art. 118 al. 3 CPC ; TF 5A_121/2018 du 23 mai 2018 consid. 11). 8.5 Le bénéficiaire de l’assistance judiciaire A.W.________ sera tenu au remboursement des frais judiciaires et de l’indemnité allouée à son conseil d’office, provisoirement laissés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 dans la mesure de sa recevabilité.</w:t>
      </w:r>
    </w:p>
    <w:p>
      <w:r>
        <w:t>- 31 - II. L’ordonnance de mesures provisionnelles rendue le 16 mai 2025 par la Justice de paix du district de Lausanne est réformée à son dispositif par l’ajout des chiffres VI.bis et VI.ter, comme il suit : VI.bis. institue une curatelle provisoire de représentation de l’enfant dans la procédure au sens de l’art 314abis CC en faveur de la mineure O.W.________, née le [...] 2021 ; VI.ter. dit que la Justice de paix du district de Lausanne désignera, par décision séparée, un avocat ou une avocate comme curateur ou curatrice de l’enfant précitée, avec pour mission de la représenter dans la suite de l’enquête en fixation des droits parentaux instruite par cette autorité ; L’ordonnance est confirmée pour le surplus. III. Le bénéfice de l’assistance judiciaire est octroyé au recourant A.W.________ pour la procédure de recours avec effet au</w:t>
      </w:r>
    </w:p>
    <w:p>
      <w:r>
        <w:rPr>
          <w:b/>
        </w:rPr>
        <w:t>E. 10</w:t>
      </w:r>
    </w:p>
    <w:p>
      <w:r>
        <w:t>juillet 2025, Me Margaux Loretan étant désignée conseil d’office du prénommé. IV. L’indemnité due à Me Margaux Loretan, conseil d’office du recourant A.W.________, est arrêtée à 1'752 fr. 50 (mille sept cent cinquante-deux francs et cinquante centimes), débours et TVA compris, dite indemnité étant provisoirement laissée à la charge de l’Etat. V. Les frais judiciaires de deuxième instance, arrêtés à 750 fr. (sept cent cinquante francs), sont mis à la charge du recourant A.W.________, à concurrence de 630 fr. (six cent trente francs), et à la charge de l’intimée P.________, à concurrence de 120 fr. (cent vingt francs), la part des frais supportée par le recourant étant provisoirement laissée à la charge de l’Etat.</w:t>
      </w:r>
    </w:p>
    <w:p>
      <w:r>
        <w:t>- 32 - VI. Le recourant A.W.________ doit immédiat paiement à l’intimée P.________ de 1'200 fr. (mille deux cents francs) à titre de dépens réduits de deuxième instance. VII. Le bénéficiaire de l’assistance judicaire A.W.________ sera, dans la mesure de l’art. 123 CPC, tenu au remboursement des frais judiciaires et de l’indemnité allouée à son conseil d’office, laissés provisoirement à la charge de l’Etat, dès qu’il sera en mesure de le faire. VIII. L'arrêt est exécutoire. La présidente : La greffière : Du L'arrêt qui précède, dont la rédaction a été approuvée à huis clos, est notifié à : - Me Margaux Loretan (pour A.W.________), - Me Zakia Arnouni (pour P.________), - Direction générale de l’enfance et de la jeunesse, Unité évaluation et missions spécifiques, et communiqué à : - Mme la Juge de paix du district de Lausanne, par l'envoi de photocopies.</w:t>
      </w:r>
    </w:p>
    <w:p>
      <w:r>
        <w:t>- 33 -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