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LQ23.016429 vom 11. Januar 2024</w:t>
      </w:r>
    </w:p>
    <w:p>
      <w:r>
        <w:t>VD Tribunal cantonal, 2024-01-11, FR</w:t>
      </w:r>
    </w:p>
    <w:p>
      <w:r>
        <w:rPr>
          <w:b/>
        </w:rPr>
        <w:t xml:space="preserve">Quelle: </w:t>
      </w:r>
      <w:r>
        <w:t>https://mcp.opencaselaw.ch/entscheid/vd_gerichte_LQ23.016429</w:t>
      </w:r>
    </w:p>
    <w:p>
      <w:r>
        <w:t>FR: VD_GERICHTE LQ23.016429 du 11 janvier 2024</w:t>
      </w:r>
    </w:p>
    <w:p>
      <w:r>
        <w:t>IT: VD_GERICHTE LQ23.016429 del 11 gennaio 2024</w:t>
      </w:r>
    </w:p>
    <w:p>
      <w:pPr>
        <w:pStyle w:val="Heading2"/>
      </w:pPr>
      <w:r>
        <w:t>Erwägungen</w:t>
      </w:r>
    </w:p>
    <w:p>
      <w:r>
        <w:rPr>
          <w:b/>
        </w:rPr>
        <w:t>E. 3</w:t>
      </w:r>
    </w:p>
    <w:p>
      <w:r>
        <w:t>CHAMBRE DE S CURATELLE S ____________________________________ Arrêt du 11 janvier 2024 __________________ Composition : Mme ROULEAU, juge présidant Mmes Kühnlein et Chollet, juges Greffière : Mme Charvet ***** Art. 445 al. 3 et 450 CC ; 59 al. 2 let. a CPC La Chambre des curatelles du Tribunal cantonal prend séance pour statuer sur le recours interjeté par A.K.________, à [...], contre l’ordonnance de mesures provisionnelles rendue le 15 juin 2023 par la Juge de paix du district de Lausanne, dans la cause concernant les enfants B.K.________ et C.K.________, toutes deux à [...]. Délibérant à huis clos, la Chambre voit :</w:t>
      </w:r>
    </w:p>
    <w:p>
      <w:r>
        <w:t>- 2 - En fa it et e n droit : 1. 1.1 Le 15 juin 2023, dans le cadre d’une enquête en limitation de l’autorité parentale de A.K.________ (ci-après : le recourant) et de D.K.________, parents de B.K.________ et C.K.________, nées le [...] 2009, la Juge de paix du district de Lausanne (ci-après : la juge de paix ou la première juge) a tenu une audience en présence des parents des mineures concernées et d’une représentante de la Direction générale de l’enfance et de la jeunesse (ci-après : DGEJ). A l’issue de cette audience, la première juge a informé les parties de l’ouverture d’une enquête en fixation du droit de visite de A.K.________ à l’égard de ses filles B.K.________ et C.K.________. 1.2 Par ordonnance de mesures provisionnelles rendue dans sa séance du 15 juin 2023, adressée pour notification aux parties le 14 décembre 2023, la juge de paix a rappelé l’ouverture d’une enquête en fixation du droit de visite de A.K.________ sur ses filles B.K.________ et C.K.________ (I), suspendu dite enquête jusqu’à reddition du rapport d’expertise confié à l’Institut de psychiatrie [...] (II), ordonné la suspension provisoire du droit de visite de A.K.________ sur B.K.________ et C.K.________ (III), invité la DGEJ à faire rapport à l’autorité de protection sur l’évolution de la situation et la position des mineurs concernées quant au droit de visite de leur père dans un délai de cinq mois dès notification de l’ordonnance, pour autant que les conclusions de l’expertise ordonnée ne soient alors pas connues (IV), rejeté toutes autres ou plus amples conclusions (V), déclaré cette ordonnance immédiatement exécutoire, nonobstant recours (VI) et dit que les frais de la procédure provisionnelle suivaient le sort de la cause au fond (VII). Le 16 juin 2023, Me [...], avocate à [...], a été désignée en qualité de curatrice de représentation à forme de l’art. 314abis CC (Code civil suisse du 10 décembre 1907 ; RS 210) des mineures concernées.</w:t>
      </w:r>
    </w:p>
    <w:p>
      <w:r>
        <w:t>- 3 - 2. Par acte adressé le 21 décembre 2023 à la juge de paix, A.K.________ a interjeté recours « contre la suspension provisoire du droit de visite ».</w:t>
      </w:r>
    </w:p>
    <w:p>
      <w:r>
        <w:rPr>
          <w:b/>
        </w:rPr>
        <w:t>E. 3.1</w:t>
      </w:r>
    </w:p>
    <w:p>
      <w:r>
        <w:t>Le recours est dirigé contre une ordonnance de mesures provisionnelles rendue par la juge de paix suspendant provisoirement le droit de visite du recourant sur ses filles.</w:t>
      </w:r>
    </w:p>
    <w:p>
      <w:r>
        <w:rPr>
          <w:b/>
        </w:rPr>
        <w:t>E. 3.2.1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CC [ci-après : Basler Kommentar],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Basler Kommentar, op. cit., n. 42 ad art. 450 CC, p. 2940).</w:t>
      </w:r>
    </w:p>
    <w:p>
      <w:r>
        <w:rPr>
          <w:b/>
        </w:rPr>
        <w:t>E. 3.2.2</w:t>
      </w:r>
    </w:p>
    <w:p>
      <w:r>
        <w:t>Un intérêt est requis pour exercer toute voie de droit (Corboz, Commentaire de la LTF [loi sur le Tribunal fédéral du 17 juin 2005 ; RS 173.110], 2e éd., Berne 2014, n. 14 ad art. 76 LTF et les références citées, p. 682). Le justiciable qui fait valoir une prétention doit démontrer qu'il a un intérêt digne de protection à voir le juge statuer sur sa demande (art. 59 al. 2 let. a CPC [Code de procédure civile du 19 décembre 2008 ; RS</w:t>
      </w:r>
    </w:p>
    <w:p>
      <w:r>
        <w:t>- 4 - 272], applicable par renvoi des art. 450f CC et 12 LVPAE ; Bohnet, Commentaire romand, Code de procédure civile [ci-après : CR-CPC], 2e éd., Bâle 2019, n. 89 ad art. 59 CPC, pp. 196 et 197). L'existence d'un intérêt digne de protection du recourant est ainsi une condition de recevabilité de tout recours et doit être constatée d’office (art. 60 CPC ; Bohnet, ibidem, n. 92 ad art. 59 CPC, p. 198). Le recourant n’a d’intérêt au recours que s’il demande la modification du dispositif de la décision attaquée, de sorte que le recours sur les seuls motifs doit être déclaré irrecevable (ATF 118 II 108 consid. 2c, JdT 1993 I 351 ; TF 8C_558/2016 du</w:t>
      </w:r>
    </w:p>
    <w:p>
      <w:r>
        <w:rPr>
          <w:b/>
        </w:rPr>
        <w:t>E. 3.2.3</w:t>
      </w:r>
    </w:p>
    <w:p>
      <w:r>
        <w:t>Sous peine d'irrecevabilité, le recours doit être dûment motivé et interjeté par écrit (art. 450 al. 3 CC).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 CPC, op. cit., n. 3 ad art. 311 CPC, p. 1251). Le recours doit également contenir des conclusions au fond pour permettre, le cas échéant, à l'autorité supérieure de statuer à nouveau, ce principe valant également lorsque la procédure</w:t>
      </w:r>
    </w:p>
    <w:p>
      <w:r>
        <w:t>- 5 - est gouvernée par la maxime d’office (Jeandin, CR-CPC, op. cit., n. 4 ad art. 311 CPC, p. 1511 ; CCUR 16 novembre 2022/195 consid. 3.1.3). Concernant les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op. cit., n. 5 ad art. 311 CPC, p. 1512 ; TF 4A_618/2017 du 11 janvier 2018 consid. 4.3 et 4.4 ; CCUR 30 mai 2023/96 et les références citées).</w:t>
      </w:r>
    </w:p>
    <w:p>
      <w:r>
        <w:rPr>
          <w:b/>
        </w:rPr>
        <w:t>E. 3.3</w:t>
      </w:r>
    </w:p>
    <w:p>
      <w:r>
        <w:t>En l’espèce, dans son écriture, le recourant indique prendre acte du souhait de ses filles de cesser les contacts avec lui et précise que « le rétablissement de leur droit de visite n’est absolument pas à l’ordre du jour ». Il demande la suppression immédiate de son droit de visite sur ses filles B.K.________ et C.K.________. Il en résulte que le recourant ne conteste pas l’ordonnance attaquée, puisque la conclusion de son recours correspond précisément à ce que prévoit cette ordonnance, à savoir la suspension de son droit de visite sur ses filles. Le recourant ne dispose donc d’aucun intérêt juridique à l’obtention des conclusions formulées dans son acte du 21 décembre 2023. Pour le surplus, il n’émet aucune autre critique étayée de cette ordonnance qui justifierait, le cas échéant, de la modifier ou de l’annuler. Par conséquent, le recours est irrecevable, faute pour le recourant de démontrer un intérêt digne de protection à ce que la Chambre de céans statue sur celui-ci.</w:t>
      </w:r>
    </w:p>
    <w:p>
      <w:r>
        <w:rPr>
          <w:b/>
        </w:rPr>
        <w:t>E. 4</w:t>
      </w:r>
    </w:p>
    <w:p>
      <w:r>
        <w:t>En conclusion, le recours est irrecevable.</w:t>
      </w:r>
    </w:p>
    <w:p>
      <w:r>
        <w:t>- 6 - Le présent arrêt peut être rendu sans frais judiciaires de deuxième instance (art. 11 TFJC [tarif du 28 septembre 2010 des frais judiciaires civils,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A.K.________, - Me David Moinat (pour D.K.________), - Me [...], curatrice de représentation des enfants concernées,</w:t>
      </w:r>
    </w:p>
    <w:p>
      <w:r>
        <w:t>- 7 - et communiqué à : - Mme la Juge de paix du district de Lausanne, - Direction générale de l’enfance et de la jeunesse, ORPM [...],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