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LQ22.027666 vom 24. Mai 2023</w:t>
      </w:r>
    </w:p>
    <w:p>
      <w:r>
        <w:t>VD Tribunal cantonal, 2023-05-24, FR</w:t>
      </w:r>
    </w:p>
    <w:p>
      <w:r>
        <w:rPr>
          <w:b/>
        </w:rPr>
        <w:t xml:space="preserve">Quelle: </w:t>
      </w:r>
      <w:r>
        <w:t>https://mcp.opencaselaw.ch/entscheid/vd_gerichte_LQ22.027666</w:t>
      </w:r>
    </w:p>
    <w:p>
      <w:r>
        <w:t>FR: VD_GERICHTE LQ22.027666 du 24 mai 2023</w:t>
      </w:r>
    </w:p>
    <w:p>
      <w:r>
        <w:t>IT: VD_GERICHTE LQ22.027666 del 24 maggio 2023</w:t>
      </w:r>
    </w:p>
    <w:p>
      <w:pPr>
        <w:pStyle w:val="Heading2"/>
      </w:pPr>
      <w:r>
        <w:t>Erwägungen</w:t>
      </w:r>
    </w:p>
    <w:p>
      <w:r>
        <w:rPr>
          <w:b/>
        </w:rPr>
        <w:t>E. 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w:t>
      </w:r>
    </w:p>
    <w:p>
      <w:r>
        <w:rPr>
          <w:b/>
        </w:rPr>
        <w:t>E. 2.2.2</w:t>
      </w:r>
    </w:p>
    <w:p>
      <w:r>
        <w:t>Aux termes de l'art. 314a al. 1 CC, l'enfant est entendu personnellement, de manière appropriée, par l'autorité de protection de</w:t>
      </w:r>
    </w:p>
    <w:p>
      <w:r>
        <w:t>- 13 -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5A_5312017 du 23 mars 2017 consid. 4.1).</w:t>
      </w:r>
    </w:p>
    <w:p>
      <w:r>
        <w:rPr>
          <w:b/>
        </w:rPr>
        <w:t>E. 2.2.3</w:t>
      </w:r>
    </w:p>
    <w:p>
      <w:r>
        <w:t>En l’espèce, l'autorité de protection a procédé à l'audition des parents lors de son audience du 25 août 2022, de même qu’elle a entendu l’assistante sociale de la DGEJ en charge du mandat de surveillance des relations personnelles. Aucune mise en danger de l’enfant n’ayant été constatée et seules les modalités de l’exercice du droit de visite relatives au passage de l’enfant entre les parents étant litigieuses, une audition de l’enfant par l’autorité judiciaire aurait été disproportionnée, cela d’autant plus au vu de son jeune âge. Le droit d’être entendu de chaque intéressé ayant été respecté, la décision querellée est formellement correcte et peut être examinée sur le fond.</w:t>
      </w:r>
    </w:p>
    <w:p>
      <w:r>
        <w:rPr>
          <w:b/>
        </w:rPr>
        <w:t>E. 3</w:t>
      </w:r>
    </w:p>
    <w:p>
      <w:r>
        <w:t>septembre 2021, que les passages de ce dernier étaient effectués à la charge de l’un et l’autre parent. Les parties avaient d’ailleurs envisagé la possibilité d’effectuer les trajets en voiture ou en transports publics. Comme l’a relevé de manière convaincante la curatrice dans ses déterminations déposées auprès de la Chambre de céans, cette solution permet, d’un point de vue socio-éducatif, de contribuer au bon développement de l’enfant K.________, puisque ces modalités démontrent</w:t>
      </w:r>
    </w:p>
    <w:p>
      <w:r>
        <w:t>- 18 - un consensus de la part de ses deux parents. Le fait que la mère effectue le trajet jusque chez l’intimé pour aller récupérer son fils est symboliquement perçu par celui-ci comme un encouragement au maintien des relations personnelles avec son père et du droit de visite de celui-ci. Par leur comportement, les parties ont implicitement démontré qu’elles agissaient ainsi dans l’intérêt prépondérant de leur fils. Si l’état de santé de la mère n’est pas à négliger, on constate toutefois qu’elle n’a pas soulevé ce motif pour expliquer son déménagement ni pour justifier la suppression de sa prise en charge de la moitié des trajets, que ce soit auprès de la curatrice ou devant la juge de paix le 6 juillet 2022, ou encore dans ses déterminations du 21 juillet 2022. L’état de santé de la recourante apparaît dès lors compatible avec une telle prise en charge, cela d’autant plus qu’en l’état, l’intérêt de l’enfant prime avant tout. Quant aux aspects financiers, ils apparaissent secondaires, alors même que l’état de fait a été complété à cet égard. Non seulement les parties n’ont pas allégué les coûts découlant de l’exercice du droit de visite devant le juge d’appel saisi dans le cadre de l’action alimentaire, mais elles ne s’en sont pas plaintes non plus auprès de la curatrice. Si cette prise en charge des trajets par moitié devait déséquilibrer les aspects financiers de l’une ou l’autre des parties, celle-ci devrait saisir le juge de l’entretien pour demander une modification de la contribution. Compte tenu de ce qui précède, la solution convenue par les parties depuis le déménagement de la recourante répond à l’intérêt prépondérant de leur enfant. Dès lors que cette solution a été mise en œuvre en raison de et après le déménagement décidé par la recourante, le premier juge n’a pas abusé de son pouvoir d’appréciation en tenant compte de cet élément particulier parmi les circonstances du cas d’espèce et en pérennisant ainsi la solution initiale, qui est justifiée.</w:t>
      </w:r>
    </w:p>
    <w:p>
      <w:r>
        <w:rPr>
          <w:b/>
        </w:rPr>
        <w:t>E. 3.1</w:t>
      </w:r>
    </w:p>
    <w:p>
      <w:r>
        <w:t>La recourante conteste les modalités fixées par les premiers juges au sujet des trajets qu’elle doit effectuer dans le cadre de l’exercice du droit de visite de l’intimé. Elle fait valoir que les faits pertinents doivent être complétés, notamment par l’arrêt rendu le 22 août 2022 par le Tribunal cantonal valaisan. Elle estime que les faits relatifs au comportement adopté par l’intimé au cours des premières années après la naissance de l’enfant, à sa propre situation financière et à son état de santé ne permettent pas de retenir une dérogation à la règle générale selon laquelle le parent non-gardien doit aller chercher et ramener l’enfant à son domicile habituel. Enfin, elle prétend que l’autorité de protection de l’enfant aurait apprécié de manière erronée les circonstances – choix ou contrainte – à l’origine de son déménagement avec l’enfant, de sorte que la décision querellée serait inopportune. Aussi, l’intimé adopterait un</w:t>
      </w:r>
    </w:p>
    <w:p>
      <w:r>
        <w:t>- 14 - comportement contradictoire en concluant au rejet du recours tout en n’exerçant pas son droit de visite. Pour sa part, l’intimé réfute les allégations de la recourante. Il prétend avoir régulièrement accompli son devoir de père depuis décembre 2019 et n’avoir parfois pas exercé son droit de visite en raison du refus de son fils. Quant à la DGEJ, elle a mentionné que l’assistante sociale en charge du mandat n’avait pas rencontré de problème dans l’établissement du planning 2022 du droit de visite, mais avait constaté des divergences entre les parents au sujet de celui de 2023. D’un point de vue socio- éducatif, elle a relevé que la répartition des trajets telle que prévue par la décision querellée permettait de contribuer au bon développement de l’enfant, puisque ces modalités démontraient un certain consensus de la part de ses deux parents. S’agissant des conclusions de la recourante, il n’appartenait pas à la DGEJ de se prononcer sur les questions financières liées au droit de visite, mais de veiller à ce que le bon développement du mineur soit garanti, le droit de visite fixé par convention répondant à l’intérêt de ce dernier. Selon la DGEJ, l’unique point litigieux résidait dans la question du passage de l’enfant.</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 de participer au développement de l'enfant malgré l'absence de communauté domestique et à l'enfant de maintenir un contact avec ses deux parents, ce contact étant bénéfique en termes d'équilibre psychologique et de construction de l'identité personnelle.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w:t>
      </w:r>
    </w:p>
    <w:p>
      <w:r>
        <w:t>- 15 -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5A_334/2018 du 7 août 2018 consid. 3.1 ; TF 5A_184/2017 du 9 juin 2017 consid. 4.1 ; TF 5A_53/2017 du 23 mars 2017 consid 5.1). A cet égard, il est unanimement reconnu que le rapport de l’enfant avec ses deux parents est essentiel et qu’il peut jouer un rôle décisif dans le processus de recherche d’identité de l’enfant (ATF 130 III 585 consid. 2.2.2 ; TF 5A_887/2017 du 16 février 2018 consid. 5.3 et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Le droit pour les parents d'entretenir des relations personnelles avec leur enfant n'est pas absolu et peut être temporairement ou durablement refusé ou limité (Meier/Stettler, op. cit., nn. 966 ss, pp. 617 ss). Dans chaque cas, la décision doit être prise de manière à répondre le mieux possible aux besoins de l’enfant, l’intérêt des père et mère étant relégué à l’arrière-plan (ATF 130 III 585 consid. 2.2.1 et réf. cit. ; TF 5A_842/2020 du 14 octobre 2021 consid. 5.1 et réf. cit.).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w:t>
      </w:r>
    </w:p>
    <w:p>
      <w:r>
        <w:t>- 16 -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Pour fixer le droit aux relations personnelles, le juge fait usage de son pouvoir d'appréciation (art. 4 CC ; ATF 131 III 209 consid. 3 ; ATF 120 II 229 consid. 4a ; TF 5A_41/2020 du 10 juin 2020 consid. 4.1 ; TF 5A_454/2019 du 16 avril 2020 consid. 4.2.1).</w:t>
      </w:r>
    </w:p>
    <w:p>
      <w:r>
        <w:rPr>
          <w:b/>
        </w:rPr>
        <w:t>E. 3.2.2</w:t>
      </w:r>
    </w:p>
    <w:p>
      <w:r>
        <w:t>Sauf réglementation contraire, il appartient au titulaire du droit de visite d’aller chercher l’enfant et de le ramener chez lui ou au lieu fixé (Meier/Stettler, op. cit., n. 993 p. 642).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au droit de visite, ce qui contribue à rassurer l’enfant (Meier, op. cit., n. 993 p. 643 et réf. cit.).</w:t>
      </w:r>
    </w:p>
    <w:p>
      <w:r>
        <w:rPr>
          <w:b/>
        </w:rPr>
        <w:t>E. 3.2.3</w:t>
      </w:r>
    </w:p>
    <w:p>
      <w:r>
        <w:t>En principe, les frais liés à l’exercice des relations personnelles sont à la charge du parent ayant droit. Toutefois, les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En présence de situations financières tendues des deux parents, un équilibre doit être trouvé entre les besoins de l’enfant de conserver un contact avec</w:t>
      </w:r>
    </w:p>
    <w:p>
      <w:r>
        <w:t>- 17 - le parent qui n’en a pas la garde et son intérêt à voir son entretien couvert (TF 5A_679/2011 du 10 avril 2012 consid. 7.3 ; TF 5A_292/2009 du 2 juillet 2009 consid. 2.3.1.3, publié in FamPra.ch 2009 1100).</w:t>
      </w:r>
    </w:p>
    <w:p>
      <w:r>
        <w:rPr>
          <w:b/>
        </w:rPr>
        <w:t>E. 3.3</w:t>
      </w:r>
    </w:p>
    <w:p>
      <w:r>
        <w:t>En l’espèce, il convient de distinguer la problématique de la prise en charge spatio-temporelle des trajets nécessaires à l’exercice du droit de visite, soit « qui prend le temps d’effectuer le trajet avec l’enfant » de celle de la prise en charge financière des frais de déplacement nécessités par l’exercice du droit de visite, soit « qui doit supporter le coût de ces trajets ». La première problématique concerne la fixation des relations personnelles, relevant de la compétence de l’autorité de protection de l’enfant, alors que la seconde concerne la contribution d’entretien, relevant de la compétence du juge de l’entretien de l’enfant. Concernant les modalités de l’exercice du droit de visite, on constate que les parties ont vécu des difficultés à cet égard, d’une part, dès la naissance de l’enfant K.________ en 2015, l’intimé n’étant pas prêt à agir en qualité de père bien qu’ayant reconnu son fils et, d’autre part, en décembre 2022, l’enfant ayant refusé d’aller chez son père à deux reprises, selon les propos de la curatrice. Or, l’exercice effectif du droit de visite est nécessaire aux relations personnelles père-fils, elles-mêmes indispensables à la construction de l’enfant qui doit trouver son assise en connaissant ses origines. A cet égard, l’intimé a demandé à entretenir des relations personnelles avec son fils en avril 2020. En outre, pendant plus d’une année depuis le déménagement de la recourante en septembre 2021, les parties sont parvenues à s’entendre pour favoriser l’exercice du droit de visite de l’intimé, ceci dans l’intérêt de l’enfant. En effet, elles étaient convenues pour toutes les visites, à l’exception de la première le</w:t>
      </w:r>
    </w:p>
    <w:p>
      <w:r>
        <w:rPr>
          <w:b/>
        </w:rPr>
        <w:t>E. 4</w:t>
      </w:r>
    </w:p>
    <w:p>
      <w:r>
        <w:t>En définitive, le recours doit être rejeté et la décision querellée doit être confirmée.</w:t>
      </w:r>
    </w:p>
    <w:p>
      <w:r>
        <w:t>- 19 -</w:t>
      </w:r>
    </w:p>
    <w:p>
      <w:r>
        <w:rPr>
          <w:b/>
        </w:rPr>
        <w:t>E. 5.1</w:t>
      </w:r>
    </w:p>
    <w:p>
      <w:r>
        <w:t>Par décision du 27 décembre 2022, l’assistance judiciaire a été octroyée à la recourante.</w:t>
      </w:r>
    </w:p>
    <w:p>
      <w:r>
        <w:rPr>
          <w:b/>
        </w:rPr>
        <w:t>E. 5.2</w:t>
      </w:r>
    </w:p>
    <w:p>
      <w:r>
        <w:t>Aux termes de l’art. 122 al. 1 let. a CPC, l’avocat d’office a droit à une rémunération équitable pour ses opérations et débours. L'avocat dispose d'une prétention de droit public à être rémunéré équitablement (cf. ATF 137 III 185 consid. 5.2 et 5.3) dans le cadre des normes cantonales applicables (ATF 141 III 560 consid. 3.2.2).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si l’avocat d’office peut être tenu de déployer des activités en dehors des tribunaux,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et réf. cit.) ou encore qui relèvent de l'aide sociale (JdT 2013 III 35 ; JdT 2017 III 59). L'avocat doit toutefois bénéficier d'une marge d'appréciation suffisante pour déterminer l'importance du travail qu'exige l'affaire (TF 5A_10/2018 du 17 avril 2018 c. 3.2.2.3 et réf. cit., RSPC 2018 p. 370 ; cf. Colombini, Code de procédure civile, Condensé de la jurisprudence fédérale et vaudoise, 2018, n. 3.1 ad art. 122 CPC).</w:t>
      </w:r>
    </w:p>
    <w:p>
      <w:r>
        <w:t>- 20 -</w:t>
      </w:r>
    </w:p>
    <w:p>
      <w:r>
        <w:rPr>
          <w:b/>
        </w:rPr>
        <w:t>E. 5.3</w:t>
      </w:r>
    </w:p>
    <w:p>
      <w:r>
        <w:t>Me Isabelle Jaques a indiqué dans sa liste des opérations du 29 mars 2023 avoir consacré 19 heures et 18 minutes du 23 novembre 2022 au 29 mars 2023. Cependant, certaines opérations ne doivent pas être retenues. L’ouverture du dossier indiquée le 23 novembre 2022 (18min) est un poste qui relève des frais généraux et n’a pas à figurer dans une liste d’assistance judiciaire (JdT 2017 III 59 ; CREC 14 juillet 2015/259). Il ne se justifie pas non plus de facturer les sept tentatives d’appel avec sa cliente ou le Bureau de recouvrement et d’avances sur pensions alimentaires (ci-après : BRAPA) (21min), ni les opérations en lien avec cette institution, dès lors qu’elles concernent la problématique de la contribution d’entretien et non celle des modalités d’exercice du droit de visite (1h54). Quant aux opérations d’accusé de réception et de « carton » des 23 novembre 2022, 6 janvier, 1er et 17 mars 2023, elles ne peuvent être considérées comme une activité déployée par l’avocat, s’agissant de pur travail de secrétariat (CREC 11 août 2017/294) ou ne nécessitant qu’une lecture cursive (CREC 3 août 2016/301) (12min). En outre, le temps consacré les 20 février et 17 mars 2023 pour l’envoi de courriers à la cliente destinés spécifiquement à lui transmettre des écrits adressés à la curatrice et au Tribunal cantonal ne paraît pas nécessaire et ne justifie pas une rémunération (24min) (CCUR 25 octobre 2017/204 ; Colombini, op. cit., n. 3.12.2 ad art. 122 CPC). Compte tenu de ce qui précède et vu la nature du dossier et la complexité de la cause, il convient de rémunérer 16 heures et 30 minutes (19h18 – 2h48) consacrées à ce dossier. Il s’ensuit qu’au tarif horaire de 180 fr. pour l’avocat breveté (art. 2 al. 1 let. a RAJ [règlement sur l’assistance judiciaire en matière civile du</w:t>
      </w:r>
    </w:p>
    <w:p>
      <w:r>
        <w:rPr>
          <w:b/>
        </w:rPr>
        <w:t>E. 7</w:t>
      </w:r>
    </w:p>
    <w:p>
      <w:r>
        <w:t>La bénéficiaire de l’assistance judiciaire est, dans la mesure de l’art. 123 CPC, tenue au remboursement des frais judiciaires de deuxième instance et de l’indemnité à son conseil d’office, laissés provisoirement à la charge de l’Etat. Par ces motifs, la Chambre des curatelles du Tribunal cantonal, statuant à huis clos, prononce : I. Le recours est rejeté. II. La décision du 25 août 2022 est confirmée. III. L’indemnité d’office de Me Isabelle Jaques, conseil de la recourante F.________, est arrêtée à 3'263 fr. (trois mille deux cent soixante – trois francs), débours et TVA compris et laissée provisoirement à la charge de l’Etat. IV. Les frais judiciaires de deuxième instance, arrêtés à 600 fr. (six cents francs), sont laissés provisoirement à la charge de l’Etat.</w:t>
      </w:r>
    </w:p>
    <w:p>
      <w:r>
        <w:t>- 22 - V. La recourante F.________ versera à Z.________ la somme de 500 fr. (cinq cents francs) à titre de dépens de deuxième instance. VI. La bénéficiaire de l’assistance judiciaire F.________ est, dans la mesure de l’art. 123 CPC, tenue au remboursement des frais judiciaires de deuxième instance et de l’indemnité de son conseil d’office provisoirement mis à la charge de l’Etat. VII. L'arrêt est exécutoire. La présidente : La greffière : Du L'arrêt qui précède, dont la rédaction a été approuvée à huis clos, est notifié à : - Me Isabelle Jaques, av. (pour F.________), - Me Pierre-Armand Luyet, av. (pour Z.________), - Mme [...], assistante sociale au sein de la DGEJ, ORPM de l’Est. et communiqué à : - la Justice de paix du district d’Aigle par l'envoi de photocopies. Le présent arrêt peut faire l'objet d'un recours en matière civile devant le Tribunal fédéral au sens des art. 72 ss LTF (loi du 17 juin</w:t>
      </w:r>
    </w:p>
    <w:p>
      <w:r>
        <w:t>- 23 - 2005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