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LQ17.045547 vom 13. April 2021</w:t>
      </w:r>
    </w:p>
    <w:p>
      <w:r>
        <w:t>VD Tribunal cantonal, 2021-04-13, FR</w:t>
      </w:r>
    </w:p>
    <w:p>
      <w:r>
        <w:rPr>
          <w:b/>
        </w:rPr>
        <w:t xml:space="preserve">Quelle: </w:t>
      </w:r>
      <w:r>
        <w:t>https://mcp.opencaselaw.ch/entscheid/vd_gerichte_LQ17.045547</w:t>
      </w:r>
    </w:p>
    <w:p>
      <w:r>
        <w:t>FR: VD_GERICHTE LQ17.045547 du 13 avril 2021</w:t>
      </w:r>
    </w:p>
    <w:p>
      <w:r>
        <w:t>IT: VD_GERICHTE LQ17.045547 del 13 aprile 2021</w:t>
      </w:r>
    </w:p>
    <w:p>
      <w:pPr>
        <w:pStyle w:val="Heading2"/>
      </w:pPr>
      <w:r>
        <w:t>Erwägungen</w:t>
      </w:r>
    </w:p>
    <w:p>
      <w:r>
        <w:rPr>
          <w:b/>
        </w:rPr>
        <w:t>E. 30</w:t>
      </w:r>
    </w:p>
    <w:p>
      <w:r>
        <w:t>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1.3 En l'espèce, motivé et interjeté en temps utile par le père de l’enfant mineure concernée, partie à la procédure, le présent recours est recevable. Il en va de même des pièces produites en deuxième instance, si tant est qu'elles ne figurent pas déjà au dossier, et des écritures subséquentes. Le juge de paix a été consulté conformément à l'art. 450d al. 1 CC et n'a pas reconsidéré sa décision. 2.</w:t>
      </w:r>
    </w:p>
    <w:p>
      <w:r>
        <w:t>- 40 - 2.1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2.2.2 La procédure devant l'autorité de protection est régie par les art. 443 ss CC. Les personnes concernées doivent être entendues personnellement, à moins que l'audition ne paraisse disproportionnée au regard de l'ensemble des circonstances (art. 447 al. 1 CC). En outre, aux termes de l'art 314a al. 1 CC, l'enfant est entendu personnellement, de manière appropriée, par l'autorité de protection de l'enfant ou le tiers qui en a été chargé, à moins que son âge ou d'autres justes motifs ne s'y opposent. Les parties ont le droit d’être entendues (art. 53 al. 1 CPC). Elles ont notamment le droit de consulter le dossier et de s’en faire délivrer copie pour autant qu’aucun intérêt prépondérant public ou privé ne s’y oppose (al. 2).</w:t>
      </w:r>
    </w:p>
    <w:p>
      <w:r>
        <w:t>- 41 - 2.2.3 En l'espèce, la décision entreprise a été rendue par la juge de paix, qui a fondé sa compétence sur l'art. 5 LVPAE et a entendu les personnes parties à la procédure. Vu l'âge de l'enfant, les nombreuses consultations médicales auxquelles Clotilde a participé et une vraisemblable future audition par les autorités pénales, il était dans l'intérêt supérieur de l'enfant de renoncer à son audition par le premier juge dans le cadre des mesures provisionnelles. Enfin les parties, qui n'ont du reste pas fait valoir une violation de leur droit d'être entendues, ont largement pu développer leurs moyens devant la première instance comme devant l'instance de recours, qui jouit d’un plein pouvoir d’examen quant aux faits et au droit sur les questions restant litigieuses, et de recevoir de cette autorité une décision motivée. Le droit de consulter n’étant pas absolu (Haldy, Commentaire romand, Code de procédure civile, Bâle 2019, 2e éd., cité : CR CPC, n. 10 ad art. 53 CPC, p. 162), l’accès au dossier pénal, dont la Chambre des curatelles a pris connaissance, leur est refusé car le secret de l’enquête doit être respecté. Quant à la mise en œuvre d’une expertise destinée à évaluer les compétences parentales et à mettre en lumière l’incidence du contexte parental sur la santé psychique de l’enfant, elle relève de la compétence de l’autorité de protection et non de celle de la Chambre de céans dans une procédure de recours portant sur un autre objet. 2.3 La décision entreprise est donc formellement correcte et peut être examinée sur le fond. 3. 3.1 3.1.1 Le recourant rappelle que c'est en raison de suspicions d'actes d'ordre sexuel qu'une requête de mesures superprovisionnelles a été déposée le 14 janvier 2019 – suspicions non confirmées par des éléments de preuve et fermement contestées – et non en raison d'une ancienne problématique liée à l'alcool. Comme l’a relevé le Tribunal cantonal dans son arrêt du 19 août 2019, les relations entre Clotilde et son père devaient</w:t>
      </w:r>
    </w:p>
    <w:p>
      <w:r>
        <w:t>- 42 - impérativement être maintenues, l'instruction devait être aussi rapide que possible et les relations personnelles devaient être élargies dès que les soupçons auraient été levés. La mère souffre d'un trouble de l'adaptation à prédominance anxieuse et ses propos devant le Procureur étaient incohérents et troublants. Le recourant allègue un comportement hyperprotecteur de la mère tendant à la multiplication des procédures et à la mise en danger de l'enfant. Il relève que le Procureur a mis une année et demie pour convoquer les parents. De l'avis de tous les professionnels (l'Hôpital de l'Enfance, les spécialistes de la maltraitance du Can Team du CHUV et le pédiatre de l’enfant), Clotilde n'est pas en danger. Alors que la curatrice de l'enfant a demandé le 20 décembre 2019 déjà que les relations personnelles soient réexaminées et qu'on ne pouvait pas continuer à se satisfaire de deux rencontres mensuelles de deux heures chacune au Point Rencontre et sans possibilité de sortie, que l'enfant demandait à voir son père plus souvent, que celle-ci se développait bien et n'avait pas besoin d'un suivi pédopsychiatrique selon la Dre Ortiz de Zarate, la décision n'est intervenue que le 11 novembre 2020 et concerne uniquement d'éventuels problèmes d'alcool quand bien même les relations personnelles avaient été restreintes pour des suspicions d'acte d'ordre sexuel. Le recourant bénéficie d'un suivi pour ses consommations d'alcool comme en attestent les certificats médicaux. Il n'a jamais été établi ou même allégué que le recourant aurait exercé ses relations personnelles avec Clotilde sous l'emprise de l'alcool. Le recourant plaide enfin que les exigences posées quant à l'exercice des relations personnelles, équivalent, dans leur résultat, à un retrait provisoire du permis de conduire, ce qui n'est pas de la compétence du juge de paix. 3.1.2 L'intimée explique quant à elle, être satisfaite de la décision entreprise dans la mesure où elle met des cautèles à la reprise des relations personnelles, bien qu'elle eût préféré que le droit de visite du père s'exerce par l'intermédiaire de Therapea, qui offre une prise en charge globale incluant une thérapie de soutien à la parentalité. Elle explique avoir été rassurée par le fait qu'un complément d'expertise psychiatrique allait être ordonné, ce qui avait pu être confirmé par le juge de paix même si cela n'était pas mentionné dans la décision entreprise.</w:t>
      </w:r>
    </w:p>
    <w:p>
      <w:r>
        <w:t>- 43 - L'intimée précise que les psychologues professionnels qualifiés, qui pouvaient garantir la sécurité physique, psychologique et affective de Clotilde, refusaient d'assumer la responsabilité des visites en extérieur dans la présente situation, si bien qu'il y avait matière à s'interroger sur la décision du juge de paix de confier la responsabilité de la sécurité de Clotilde à une baby-sitter « qualifiée ». Quoiqu'il en soit, les visites telles qu'organisées par la curatrice et décidées par le juge de paix permettent à Clotilde de voir son père en toute sécurité et de se développer harmonieusement. L’intimée souligne enfin qu'il ressort du rapport d'expertise de Marie Chrispeels et de la Dre Valérie Le Goff-Cubilier qu'il est nécessaire que le recourant poursuive son traitement alcoologique, avec des contrôles sanguins, à un rythme bimensuel, et qu'il est certain qu'une consommation d'alcool chez Didier Prétôt est susceptible de l'amener à avoir des conduites impulsives potentiellement dangereuses pour l'enfant. Elle fait encore le décompte des contrôles sanguins qui ont été réalisés et déclare que leur fréquence est insuffisante et son traitement, le Baclofène (Lioseral), controversé en médecine. Ainsi, pour l'intimée et contrairement à ce que soutient le recourant, l'invocation de la problématique de l'alcool n'est pas un moyen utilisé pour continuer à faire peser sur le père des soupçons qui n'ont pas lieu d'être, ni de rendre son droit de visite plus difficile, mais bien pour protéger l'enfant face à une réalité certaine, l'alcoolisme du recourant que celui-ci continue à banaliser. Enfin, les soupçons d'abus n'ayant pas été levés, il est indispensable que les relations personnelles continuent à être surveillées. 3.1.3 La curatrice prend position de la manière suivante. Elle rappelle que Clotilde a maintenant cinq ans et qu'elle est prise dans une bataille judiciaire depuis le début de sa vie. Dans son arrêt du 16 août 2019, deux critères fondamentaux à l'élargissement du droit de visite du père avaient été fixés, à savoir que la sécurité de l'enfant puisse être assurée sur les plans physique et psychique. L'expertise civile ordonnée devra clarifier et actualiser la situation s'agissant de la personnalité des parents. S'agissant de la problématique de la consommation d'alcool, celle-ci n'est pas anecdotique. Cette question est au centre des préoccupations des professionnels et de la mère de longue date. La</w:t>
      </w:r>
    </w:p>
    <w:p>
      <w:r>
        <w:t>- 44 - médication comporte également des effets secondaires non négligeables et les médecins qui produisent des certificats ne sont pas des addictologues. Contrairement à ce que soutient le recourant, il est notoire que la problématique de consommation d'alcool doit faire l'objet d'un suivi sur le long terme et en se soumettant aux analyses, le recourant permettrait à l’autorité de protection de disposer d'informations qui faciliteraient, le cas échéant, la reprise des relations personnelles. Le dépôt du permis de conduire n'est cependant pas nécessaire dès lors que les trajets peuvent être assumés par un tiers, garant des relations personnelles. Enfin, s'agissant des soupçons d'actes d'ordre sexuel, il n'est pas du ressort de la justice civile d'anticiper la décision pénale ni d'évaluer le fondement de la plainte déposée. La gravité des infractions à instruire pénalement ne permet pas à ce stade de faire l'économie d'un droit de visite médiatisé. Cela étant, le Point Rencontre n'est pas, dans sa version fermée, un lieu adéquat pour la reprise des relations personnelles en raison des activités relativement limitées qui peuvent y être conduites. A défaut de pouvoir solliciter Trait d'Union ou Espace contact, en raison des délais, il a été question de mettre en place un suivi avec l’Institution genevoise Therapea, mais celle-ci a refusé tant que la procédure pénale était en cours. La solution novatrice proposée par le recourant, à savoir la présence d'une baby-sitter qualifiée lors de l'exercice des relations personnelles, laquelle pourra s'assurer du bien-être physique et psychique de l'enfant, paraît dès lors être une solution adéquate. Pascale Varone, qui est une personne disposant des qualifications nécessaires, a été d'accord de fonctionner dans ce cadre et Clotilde apparaît satisfaite. Le risque d'instrumentalisation est réduit. 3.2 Selon l'art. 273 al. 1 CC (auquel renvoie l'art. 133 al. 1 CC), le père ou lamère qui ne détient pas l'autorité parentale ou la garde ainsi que l'enfant mineur ont réciproquement le droit d'entretenir les relations personnelles indiquées par les circonstances (TF 5A_53/2017 du 23 mars 2017 consid. 5.1 et les références citées). Les relations personnelles permettent aux pères et mères non gardiens de participer au développement de l'enfant malgré l'absence de communauté domestique et à l'enfant de maintenir un contact avec ses deux parents, ce contact</w:t>
      </w:r>
    </w:p>
    <w:p>
      <w:r>
        <w:t>- 45 -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5e éd., Bâle 2014, nn. 749 ss, pp. 485 ss). Le droit aux relations personnelles constitue ainsi non seulement un droit, mais également un devoir des parents, et également un droit de la personnalité de l'enfant ; il doit servir en premier lieu l'intérêt de celui-ci (TF 5A_53/2017 du 23 mars 2017 consid. 5.1 et les références citées ; Meier/Stettler, op. cit., nn. 752 ss, pp. 486 ss et les références citées). Le droit pour les parents d'entretenir des relations personnelles avec leur enfant n'est pas absolu et peut être temporairement ou durablement refusé ou limité (Meier/Stettler, op. cit., nn. 752 ss, pp. 486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765, p. 500 et les références citées) ; il variera en fonction de son âge, de sa santé physique et psychique et de la relation qu'il entretient avec l'ayant droit (Meier/Stettler, op. cit., n. 765, p. 500 et les références citées). Il faut en outre prendre en considération la situation et les intérêts de l'ayant droit : sa relation avec l'enfant, sa personnalité, son lieu d'habitation, son temps libre et son environnement. Enfin, il faut tenir compte de la situation du parent ou du tiers qui élève l'enfant (état de santé, obligations professionnelles) (Meier/Stettler, op. cit., n. 766, pp. 500 et 501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w:t>
      </w:r>
    </w:p>
    <w:p>
      <w:r>
        <w:t>- 46 - circonstances, que l'octroi d'un droit de visite compromet le bien de l'enfant (ATF 131 III 209 consid. 5). De fréquentes rencontres de quelques heures peuvent être plus appropriées pour des enfants en bas âge que des week-ends entiers (Leuba, Commentaire romand, Code civil I, Art. 1-359 CC, Bâle 2010, n. 14 ad art. 273 CC, p. 1715). En particulier, les enfants en bas âge (en principe moins de trois ans) profitent souvent mieux de rencontres de quelques heures, fréquentes et pas trop espacées dans le temps, plutôt que de week-ends « intensifs » toutes les deux ou trois semaines (Meier/Stettler, op. cit., n. 768, p. 504).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 TF 5A_53/2017 du 23 mars 2017 consid. 5.1 et les références citées).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5A_728/2015 du 25 août 2016 consid. 2.2). L'une des modalités particulières à laquelle il est envisageable de subordonner l'exercice du</w:t>
      </w:r>
    </w:p>
    <w:p>
      <w:r>
        <w:t>- 47 -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(TF 5A_401/2014 du 18 août 2014 consid. 3.2.2 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les références citées ; TF 5A_728/2015 du 25 août 2016 consid. 2.2).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La pratique du droit de la famille [FamPra.ch] 2008 p. 172). 3.2.2 II est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w:t>
      </w:r>
    </w:p>
    <w:p>
      <w:r>
        <w:t>- 48 -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3.2.3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5.20, p. 164 ; sur le tout, CCUR 13 février 2014/30 et les références citées). 3.3 En l'espèce, la justice de paix a été saisie d'une requête de mesures superprovisionnelles en fixation des relations personnelles par le</w:t>
      </w:r>
    </w:p>
    <w:p>
      <w:r>
        <w:t>- 49 - recourant, en novembre 2017, au motif qu'il n'avait plus vu sa fille depuis la séparation des parties survenue en janvier 2017. Le conflit entre les parents est exacerbé, une expertise a été mise en œuvre et le Service Consultation couple et famille du Département de Psychiatrie du CHUV a été mandaté par l'autorité de protection le 17 avril 2018. La Dre Valérie Le Goff-Cubilier, médecin adjointe auprès de ce service, a rencontré quatre fois la mère, quatre fois le père, deux fois la fillette en présence de sa mère et une fois celle-ci en présence de son père. Elle a en outre échangé avec pas moins de neuf intervenants, savoir les psychiatres de chacune des parties, l'alcoologue Gache et le médecin généraliste Maggiore qui suivaient alors le père, la Dre Haaz, le Dr Paley et la Dre Ortiz de Zarate, alors pédiatre et, respectivement, pédopsychiatre de Clotilde, ainsi que Zoé Adjadj, assistante sociale pour la protection des mineurs au SPJ, et Laurence Bouvet-Montant, référente de la fillette à la crèche Les Papillons. L'expertise, rendue le 6 février 2019, révèle une tension importante au sein du couple parental. La mère souffre de son côté d'un trouble de l'adaptation à prédominance anxieuse en réaction à la séparation d'avec le père et a besoin d’être progressivement rassurée pour apaiser son anxiété quant à ce que peut vivre sa fille lorsqu’elle est chez son père, lequel a une forte impulsivité, des relations destructrices avec ses compagnes et lui-même. L'alcool, dont la consommation est problématique, joue précisément un rôle destructeur et anxiolytique. Clotilde, de son côté, présente un bon développement à la fois psychomoteur et affectif. Elle est à l'aise dans la relation avec son père, mais agitée, alors que tel n'est pas le cas avec sa mère. S'agissant des accusations d'attouchement sexuel, Clotilde s'est confiée à sa mère et lors d'une visite médicale à l'Hôpital de l'Enfance le 2 décembre 2018, elle n'a pas répété ses accusations devant l'expert, mais a dit au cours de la séance que son père « fait des choses interdites », que « les amoureux font des bisous sur la bouche » et que son «papa [lui] fait des câlins amoureux.... C'est pas gentil ». Elle a également rapporté ne pas vouloir retourner chez son père et vouloir qu’on la protège. Dans un contexte de conflit conjugal intense et en l'absence d'expertise de crédibilité, il est impossible de déterminer si le père de l'enfant a eu des gestes déplacés. La Chambre de céans avait déjà relevé une attitude contradictoire chez la</w:t>
      </w:r>
    </w:p>
    <w:p>
      <w:r>
        <w:t>- 50 - recourante, qui présentait l'enfant à des consultations pour suspicion d'abus par le père et alimentait la procédure civile avec les rapports des intervenants, mais ne donnait aucune suite pénale. Elle avait également noté que ni l’Hôpital de l'Enfance, consulté les 2 et 15 décembre 2018, ni les spécialistes de la maltraitance du Can Team consultés le 19 décembre suivant, ni le pédiatre de l'enfant chez qui la mère s’était rendue dans l'intervalle, n'avaient signalé la situation de Clotilde Broquet au motif qu'elle serait en danger alors qu'ils avaient l'obligation de le faire si tel était le résultat de leur appréciation. Il est aussi piquant de constater qu'alors même que des soupçons d'actes d'ordre sexuel pèsent sur le recourant et qu'une procédure pénale est en cours, le conflit semble s'être cristallisé maintenant sur la question d'un alcoolisme chronique chez le recourant, potentiellement dangereux dans le cadre de la prise en charge de Clotilde, problématique qui occupe la majeure partie des écritures. Il est dès lors particulièrement complexe de trouver la solution idéale pour conserver le lien père-enfant sans mettre en danger Clotilde, d'un point de vue physique et psychique, et la curatrice a déployé une énergie importante à cette fin, laquelle doit être saluée. S’agissant tout d’abord des soupçons d’actes d’ordre sexuel, il ressort des pièces récentes versées au dossier que la police, dans son rapport du 28 octobre 2020 à l’intention du Ministère public, faisant la synthèse du dossier civil qui lui avait été soumis, a noté que les contrôles médicaux s’étaient révélés négatifs, qu’aucune lésion n’avait été mise en évidence, que les spécialistes du Can Team n’avaient pas non-plus réussi à déterminer si Clotilde avait été victime de son père, que les différents témoignages allaient plutôt dans le sens du père, mais ne permettaient pas d’établir la vérité et que l’expertise psychiatrique de la Dre Valérie Le Goff-Cubilier du 6 février 2019 ne permettait de se forger un avis définitif même si sur certains points il pourrait penser que la plaignante avait induit, volontairement ou non, certains mots à sa fille. Il en a conclu que les différents intervenants ne pouvaient pas établir si des abus avaient réellement été commis sur l’enfant, mais qu’à plusieurs reprises, des inquiétudes étaient formulées quant aux conflits entre les parents avec des conséquences sur le bon développement de Clotilde. Quant au rapport</w:t>
      </w:r>
    </w:p>
    <w:p>
      <w:r>
        <w:t>- 51 - de la Dre Montel, adressé le 6 janvier 2021 au Ministère public et établi sur la base du rapport de consultation rédigé par la Dre Ortiz de Zarate qui avait quitté le SUPEA en juillet 2020, il indique que la fillette présentait lors de la première consultation du 26 janvier 2018 un comportement dans la norme et qu’au cours des entretiens, elle n’avait pas manifesté de comportement, d’attitudes ou de paroles pouvant faire évoquer un éventuel abus de son intégrité corporelle et/ou sexuelle. Enfin, toujours à l’intention du Ministère public, la Dre Gourgolitsa a rapporté le 22 janvier 2021 que lors de l’évaluation et du suivi pédopsychiatrique, elle n’avait pas mis en évidence des troubles spécifiques ou non liés à un éventuel abus de son intégrité corporelle/sexuelle. Restent la problématique de l’alcool, la construction du lien entre l’enfant et son père et l’apaisement de la situation entre les parents. S’agissant de la consommation d’alcool, le recourant ne semble pas dans le déni de cette problématique. Aucun incident n'a été rapporté en ce sens qu'il aurait été alcoolisé lors de la prise en charge de Clotilde, se serait montré violent avec celle-ci parce que sous l'emprise de l'alcool ou encore qu'il aurait été inapte à s'occuper d'elle à cause des effets secondaires de son traitement. Si les experts ont relevé qu'une consommation d'alcool pouvait engendrer de l'agressivité et amener le recourant à avoir des conduites impulsives potentiellement dangereuses pour l'enfant, il s'agit plus d'une appréciation générale et abstraite dès lors que le risque ne s'est jamais concrétisé jusqu'à présent. Quoiqu'il en soit, comme les relations personnelles ne sont envisagées que par l’intermédiaire de Point Rencontre, l’association ne remettra pas l’enfant à son père s’il est alcoolisé et le recourant est d’accord de se soumettre à un éthylotest avant et après chaque exercice de son droit de visite pour garantir sa sobriété pendant les rencontres, ce qui suffit à s’en assurer. S'agissant de l'élaboration d'un lien entre le père et la fille, dans un espace suffisamment rassurant pour la mère de telle sorte que la situation ne se péjore pas plus et que l'on puisse espérer un apaisement, force est de constater que d'une part le Point Rencontre n'offre pas cette prestation et que d'autre part, les délais de Trait d'Union et d'Espace contact sont tels à l'heure actuelle que ces organismes ne seront d'aucun secours dans le cas</w:t>
      </w:r>
    </w:p>
    <w:p>
      <w:r>
        <w:t>- 52 - d'espèce. Quant à Therapea, sur Genève, ils n'interviennent pas lorsqu'il y a des suspicions d'acte d'ordre sexuel. Le premier juge a voulu faire preuve de créativité, sous l’impulsion du recourant, en indiquant que des visites de six heures pourraient avoir lieu, avec autorisation de sortie des locaux, pour autant que les visites soient surveillées par une baby-sitter qualifiée, disposant d'un permis de conduire, qui fera des comptes-rendus de son intervention. La solution n'est pas adéquate. D'une part, on ne confie pas à une baby-sitter la surveillance de relations personnelles lorsqu'il y a des suspicions d'actes d'ordre sexuel. D'autre part, cela crée une confusion des rôles entre celui de garant de l'exercice des relations personnelles et celui pour ainsi dire d'expert qui va rendre des comptes (et émettre un avis professionnel) sur le déroulement des relations personnelles, ce dont la procédure peut se passer au vu des expertises en cours. Cela étant, il ressort d'un courrier électronique de la curatrice du 19 janvier 2021 et de la prise de position de la mère, par son conseil, du 28 janvier 2021, que la surveillance des relations personnelles par Pascale Varone, qui est éducatrice spécialisée, a donné satisfaction à tout le monde, que la « période d’essai » de trois mois est échue et qu’elle a porté ses fruits et qu’on pourrait en conséquence se passer des mesures prises en sus de la sobriété du recourant pendant l’exercice des relations personnelles, lesquelles apparaissent superfétatoires. Quant aux contrôles sanguins bimensuels à transmettre à l’autorité et au traitement alcoologique régulier, il n’est pas besoin non plus d'y contraindre le recourant au stade des mesures provisionnelles, car cela n'apportera rien présentement. Le recourant doit comprendre en bonne intelligence et sans y être contraint que c'est un préalable indispensable s'il veut obtenir une décision au fond lui permettant de voir sa fille librement et régulièrement. Au regard de ce qui précède, il y a lieu de considérer que les restrictions aux relations personnelles du recourant imposées par le premier juge aux chiffres Ibis, ter et quater ainsi que III de l’ordonnance querellée doivent être supprimées, la sécurité de l’enfant étant garantie par le passage de celle-ci au Point Rencontre pour l’exercice du droit de visite de six heures, à quinzaine, à l’extérieur des locaux de l’association.</w:t>
      </w:r>
    </w:p>
    <w:p>
      <w:r>
        <w:t>- 53 - 4. 4.1 En conclusion, le recours est admis et la décision querellée modifiée dans le sens qui précède. 4.2 En sa qualité de conseil d'office de l’intimée, Me Patricia Michellod a droit à une rémunération équitable pour ses opérations et débours. Le 24 février 2021, elle a déposé une liste d'opérations récapitulant ses activités déployées dans le cadre de la procédure de deuxième instance, faisant état de 15 heures, dont 9 heures et 15 minutes pour la rédaction de la réponse, de la duplique et des déterminations sur réponse de la curatrice. La cause n’étant pas juridiquement pas complexe et le dossier connu du conseil, le temps consacré est excessif et doit être réduit de 3 heures. Il s'ensuit qu’au tarif de l'avocat de 180 fr. (art. 2 al. 2 let. b RAJ [règlement du 7 décembre 2010 sur l’assistance judiciaire en matière civile ; BLV 211.02.03]), Me Michellod à une indemnité d'office d'un montant de 2'372 fr. 80, arrondi à 2'380 fr., soit 2'160 fr. d’honoraires (12 x 180), 43 fr. 20 de débours (2 % x 2'160 ; art. 3bis al. 1 RAJ) et 169 fr. 60 de TVA sur le tout (7,7 %). La bénéficiaire de l'assistance judiciaire est, dans la mesure de l'art. 123 CPC, tenue au remboursement de l'indemnité à son conseil d'office provisoirement laissée à la charge de I'Etat. Les frais judiciaires de deuxième instance (art. 74a al. 1 TFJC [tarif du 28 septembre 2010 des frais judiciaires civils ; BLV 270.11.5]), sont provisoirement laissés à la charge de l’Etat, l’intimée étant également tenue à leur remboursement aux conditions de l’art. 123 CPC. Le recourant obtenant gain de cause, l’intimée lui versera la somme de 3'000 fr. à titre de dépens de deuxième instance (art. 106 CPC).</w:t>
      </w:r>
    </w:p>
    <w:p>
      <w:r>
        <w:t>- 54 - Par ces motifs, la Chambre des curatelles du Tribunal cantonal, statuant à huis clos, prononce : I. Le recours est admis. II. La décision est réformée comme il suit : Les chiffres Ibis, ter et quater ainsi que III sont supprimés. L’ordonnance est confirmée pour le surplus. III. L'indemnité d’office de Me Patricia Michellod, conseil d’office de Cécile Broquet, est arrêtée à 2'380 fr. (deux mille trois cent huitante francs), TVA et débours compris. IV. Les frais de deuxième instance, par 600 fr. (six cents francs), sont remboursés au recourant Didier Prétôt qui en a fait l’avance et laissés provisoirement à la charge de l’Etat.</w:t>
      </w:r>
    </w:p>
    <w:p>
      <w:r>
        <w:t>- 55 - V. L’intimée Cécile Broquet versera au recourant Didier Prétôt la somme de 3'000 fr. (trois mille francs) à titre de dépens de deuxième instance. VI. La bénéficiaire de l'assistance judiciaire est, dans la mesure de l'art. 123 CPC, tenue au remboursement des frais judiciaires de première instance et de l'indemnité à son conseil d'office provisoirement laissés à la charge de l'Etat. VII. L’arrêt est immédiatement exécutoire. Le président : La greffière : Du L'arrêt qui précède, dont la rédaction a été approuvée à huis clos, est notifié à : - Me Natasa Djurdjevac Heinzer (pour Didier Prétôt), - Me Patricia Michellod (pour Cécile Broquet), - Me Julie André, curatrice de l’enfant Clotilde Broquet, - Point Rencontre Morges,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w:t>
      </w:r>
    </w:p>
    <w:p>
      <w:r>
        <w:t>- 56 - constitutionnel subsidiaire au sens des art. 113 ss LTF. Ces recours doivent être déposés devant le Tribunal fédéral dans les trente jours qui suivent la présente notification (art. 100 al. 1 LTF). La greffière :</w:t>
      </w:r>
    </w:p>
    <w:p>
      <w:r>
        <w:t>- 57 -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