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LQ17.015065 vom 14. März 2023</w:t>
      </w:r>
    </w:p>
    <w:p>
      <w:r>
        <w:t>VD Tribunal cantonal, 2023-03-14, FR</w:t>
      </w:r>
    </w:p>
    <w:p>
      <w:r>
        <w:rPr>
          <w:b/>
        </w:rPr>
        <w:t xml:space="preserve">Quelle: </w:t>
      </w:r>
      <w:r>
        <w:t>https://mcp.opencaselaw.ch/entscheid/vd_gerichte_LQ17.015065</w:t>
      </w:r>
    </w:p>
    <w:p>
      <w:r>
        <w:t>FR: VD_GERICHTE LQ17.015065 du 14 mars 2023</w:t>
      </w:r>
    </w:p>
    <w:p>
      <w:r>
        <w:t>IT: VD_GERICHTE LQ17.015065 del 14 marzo 2023</w:t>
      </w:r>
    </w:p>
    <w:p>
      <w:pPr>
        <w:pStyle w:val="Heading2"/>
      </w:pPr>
      <w:r>
        <w:t>Erwägungen</w:t>
      </w:r>
    </w:p>
    <w:p>
      <w:r>
        <w:rPr>
          <w:b/>
        </w:rPr>
        <w:t>E. 1</w:t>
      </w:r>
    </w:p>
    <w:p>
      <w:r>
        <w:t>CC). La modification de l'attribution de l'autorité parentale ou de l'une de ses composantes est subordonnée à deux conditions, soit, d'une part, des faits nouveaux et, d'autre part, que la modification intervienne pour le bien de l'enfant (TF 5A_951/2020 précité consid. 4 ; 5A_30/2017 du 30 mai 2017 consid. 4.2 et les références).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 elle doit aussi être commandée par le bien de l'enfant (TF 5A_951/2020 précité et les nombreuses références citées). En principe, une modification sur la base de l'art. 298d al. 1 CC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5A_951/2020 précité consid. 4 et les références citées en lien avec l'art. 134 al. 1 CC ; 5A_266/2017 du 29 novembre 2017 consid. 8.3). Cette conclusion doit cependant faire l'objet d'un pronostic fondé sur des éléments factuels concrets (cf. TF 5A_809/2018 du 18 décembre 2019 consid. 4.2.2; 5A_903/2016 du 17 mai 2017 consid. 4.1 ;</w:t>
      </w:r>
    </w:p>
    <w:p>
      <w:r>
        <w:t>- 20 - 5A_345/2016 du 17 novembre 2016 consid. 5 ; 5A_186/2016 du 2 mai 2016 consid. 4). 4.2 Contrairement à ce que semble penser le recourant, on ne se trouve pas dans les cas d'application des art. 296 al. 2 et 298 al. 1 CC et il n'incombe pas à l'intimée, qui a toujours été seule détentrice de l'autorité parentale, de démontrer le bien-fondé de sa position tendant à conserver son autorité parentale exclusive. En l'occurrence, en application de l'art. 298d CC, l'attribution de l'autorité parentale conjointe est conditionnée à l'existence de faits nouveaux et à l'intérêt de l'enfant. Or, si, dans son rapport d’évaluation du 6 décembre 2021, la DGEJ préconise certes l'autorité parentale conjointe, on ne discerne toutefois aucun fait nouveau et essentiel permettant l'instauration de celle-ci, le rapport précité n'en mentionnant aucun. En effet, la DGEJ relève, en bref, le conflit parental, la communication quasi inexistante entre les parents, le fait qu'B.N.________ a peu vu son père, que la stabilité du droit de visite a été problématique durant plusieurs années, que le comportement de l'enfant auprès de son père témoigne d'un attachement fragilisé, que, durant ces dernières années, le développement des compétences paternelles a été réduit, que le recourant peine toujours à saisir le développement de son enfant, que sa collaboration et son implication ont fait défaut ces dernières années et que les visites régulières sont récentes. S'agissant plus particulièrement des visites, on doit relever que, par convention de mesures provisionnelles signée à l'audience du 2 mars 2020, les parents ont convenu d'un droit de visite à Point Rencontre de 2 heures tous les 15 jours pour une durée de 4 mois, puis de 3 heures avec autorisation de sortie, pour une durée de 3 mois, puis de 6 heures avec droit de sortie. Toutefois, durant cette période, le recourant a été victime d'un grave accident de moto en juillet 2020, avec pour conséquences une longue hospitalisation et quelques écarts de ponctualité. Par ailleurs, W.________ est parti en Afrique durant les mois de juillet et août 2021, puis durant un mois en fin d'année 2021. Il a enfin</w:t>
      </w:r>
    </w:p>
    <w:p>
      <w:r>
        <w:t>- 21 - décidé récemment de ne plus exercer son droit de visite dès lors que celui-ci avait été limité par ordonnance de mesures d’extrême urgence du 1er décembre 2022. On doit constater que le rétablissement progressif du droit de visite ne constitue pas encore, à ce stade, un fait nouveau et essentiel, dans la mesure où les visites restent irrégulières. Concernant l'implication du recourant, ce dernier a désormais pris contact avec le thérapeute de son fils, l'enseignant ou « G.________ ». Ces contacts sont récents et sont intervenus dans un court laps de temps, de sorte qu'ils ne peuvent déjà être considérés comme des changements essentiels. On ne peut en outre pas considérer que le conflit parental serait moins important qu'auparavant. En effet, l'instruction a démontré que les dissensions se poursuivaient, voire s'intensifiaient sur des éléments essentiels de l'éducation, par exemple quant à la diffusion de films ou à la religion. En définitive, on ne discerne pas de faits nouveaux et essentiels justifiant, dans l'intérêt de l'enfant, l'attribution d'une autorité parentale conjointe. La décision litigieuse doit ainsi être confirmée.</w:t>
      </w:r>
    </w:p>
    <w:p>
      <w:r>
        <w:rPr>
          <w:b/>
        </w:rPr>
        <w:t>E. 5.1</w:t>
      </w:r>
    </w:p>
    <w:p>
      <w:r>
        <w:t>Tant le recourant que l’intimée ont pris des conclusions portant sur le droit de visite du père, celle-ci les ayant prises à titre de mesures provisionnelles.</w:t>
      </w:r>
    </w:p>
    <w:p>
      <w:r>
        <w:rPr>
          <w:b/>
        </w:rPr>
        <w:t>E. 5.2.1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w:t>
      </w:r>
    </w:p>
    <w:p>
      <w:r>
        <w:t>- 22 -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w:t>
      </w:r>
    </w:p>
    <w:p>
      <w:r>
        <w:t>- 23 -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w:t>
      </w:r>
    </w:p>
    <w:p>
      <w:r>
        <w:rPr>
          <w:b/>
        </w:rPr>
        <w:t>E. 5.2.2</w:t>
      </w:r>
    </w:p>
    <w:p>
      <w:r>
        <w:t>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 En cas d’urgence particulière, elle peut prendre des mesures provisionnelles sans entendre les personnes parties à la procédure. En même temps, elle leur donne la possibilité de prendre position ; elle prend ensuite une nouvelle décision (art. 445 al. 2 CC).</w:t>
      </w:r>
    </w:p>
    <w:p>
      <w:r>
        <w:rPr>
          <w:b/>
        </w:rPr>
        <w:t>E. 5.3.1</w:t>
      </w:r>
    </w:p>
    <w:p>
      <w:r>
        <w:t>En l’espèce, la justice de paix a décidé qu'W.________ exercerait son droit aux relations personnelles sur son fils un samedi sur deux (semaines paires), de 9 heures à 19 heures, à dix reprises, puis, et sauf avis contraire du thérapeute de l'enfant, un week-end sur deux (semaines paires), du samedi 9 heures au dimanche 18 heures à charge pour lui d'aller chercher B.N.________ à la gare d'[...] et de l'y ramener. Elle a relevé que le droit de visite à Point Rencontre ne se justifiait plus, aucune mise en danger concrète d'B.N.________ par son père n'ayant été relevée par l'UEMS ; elle a toutefois considéré que la progression proposée par l'UEMS était trop rapide.</w:t>
      </w:r>
    </w:p>
    <w:p>
      <w:r>
        <w:rPr>
          <w:b/>
        </w:rPr>
        <w:t>E. 5.3.2.1</w:t>
      </w:r>
    </w:p>
    <w:p>
      <w:r>
        <w:t>5.3.2.1.1 L’intimée requiert, à titre de mesures provisionnelles, que le droit de visite d’W.________ soit restreint en ce sens qu’il exerce son droit</w:t>
      </w:r>
    </w:p>
    <w:p>
      <w:r>
        <w:t>- 25 - aux relations personnelles sur l’enfant B.N.________ un samedi sur deux (semaines paires), de 9 heures à 19 heures, à charge pour lui d’aller chercher l’enfant à la gare d’[...] et de l’y ramener, et cela en tous les cas jusqu’à droit connu sur la procédure de recours. A.N.________ a expliqué, en substance, qu’elle avait trouvé un téléphone portable dans les affaires de son fils, qu’elle avait pu accéder au contenu de cet appareil sans code, qu’il contenait des photos de femmes plutôt légèrement vêtues, voire dévêtues, une vidéo de son fils en pleurs en train de se faire gronder par son père et une liste de sites au contenu pornographiques et violent, auxquels l’enfant ou ses camarades auraient pu facilement accéder. W.________ a expliqué, au sujet de ce téléphone, qu’il avait remis cet objet à son fils pour qu’il puisse jouer à des jeux, qu’B.N.________ n’était pas censé garder ce téléphone, qu’il avait oublié de le rendre à son père, que cet objet ne fonctionnait que par internet lorsqu’il y avait du wifi, ce qui limitait fortement les possibilités d’accès à des sites, que par conséquent son fils n’avait pu accéder à des images compromettantes et que les craintes exposées par l’intimée ne s’étaient d’ailleurs pas réalisées. 5.3.2.1.2 En l’espèce, il n’y a aucun motif de douter de la version du recourant, même s’il est regrettable que ce dernier ait oublié son téléphone en possession d’B.N.________. Reste que l’enfant avait également oublié cet objet, avant qu’il soit trouvé par sa mère. De plus, il n’est pas rendu suffisamment vraisemblable que l’enfant aurait pu accéder à des sites internet, compte tenu des accès nécessaires. Enfin, la seule présence de ce téléphone dans les affaires d’B.N.________ pour les motifs clairement exposés par le père ne justifie pas la réduction du droit de visite telle que sollicitée par l’intimée.</w:t>
      </w:r>
    </w:p>
    <w:p>
      <w:r>
        <w:rPr>
          <w:b/>
        </w:rPr>
        <w:t>E. 5.3.2.2</w:t>
      </w:r>
    </w:p>
    <w:p>
      <w:r>
        <w:t>5.3.2.2.1 Dans le cadre de sa requête de mesures provisionnelles, A.N.________ a également mentionné certains propos de son fils au retour</w:t>
      </w:r>
    </w:p>
    <w:p>
      <w:r>
        <w:t>- 26 - des visites, à savoir que les femmes qui s’habillaient comme sa mère n’étaient pas respectables, que les téléphones portables étaient le Diable et que Dieu le punirait durant sa vie s’il n’était pas musulman. 5.3.2.2.2 Au regard des allégations précitées, il est évident que l’enfant se trouve tiraillé entre les points de vue très différents de ses parents. Le père semble aborder certains sujets avec son fils sans que celui-ci puisse les comprendre et de manière à engendrer des craintes pour l’intimée. Ce genre de problèmes a déjà été relevé en première instance, notamment au sujet de films visionnés, les parents ayant des sensibilités et des styles éducatifs très différents. Ces divergences sont connues, permanentes et ne justifient pas une plus grande restriction du droit de visite du recourant. En effet, lors de l’audience du 12 mai 2022, J.________, responsable de mandats d’évolution à l’UEMS, a indiqué qu’au moment du rapport, l’enfant n’avait pas encore de suivi thérapeutique, qu’elle se réjouissait que celui-ci ait débuté, que la thérapeute pourrait se rendre compte de l’évolution de l’enfant avec l’élargissement du droit de visite et que le spécialiste pourrait toujours émettre des réserves sur un tel élargissement. J.________ a conclu que l’élargissement progressive du droit de visite pouvait se faire sauf avis contraire d’un thérapeute. Les premiers juges ont précisément prévu un élargissement du droit de visite du père, sauf avis contraire du thérapeute de l’enfant. Or, on ne saurait en l’espèce restreindre plus longtemps le droit de visite du père, A.N.________ n’ayant pas démontré, par la production d’un document médical, que l’élargissement du droit de visite serait contraire aux intérêts de son fils. Par ailleurs, les divergences parentales seront les mêmes que le droit de visite soit exercé durant une journée ou plus largement. En conclusion, la requête de mesures provisionnelles de l’intimée doit être rejetée.</w:t>
      </w:r>
    </w:p>
    <w:p>
      <w:r>
        <w:rPr>
          <w:b/>
        </w:rPr>
        <w:t>E. 5.3.3</w:t>
      </w:r>
    </w:p>
    <w:p>
      <w:r>
        <w:t>- 27 -</w:t>
      </w:r>
    </w:p>
    <w:p>
      <w:r>
        <w:rPr>
          <w:b/>
        </w:rPr>
        <w:t>E. 5.3.3.1</w:t>
      </w:r>
    </w:p>
    <w:p>
      <w:r>
        <w:t>Le recourant demande de son côté l'élargissement progressif, constant et rapide de son droit de visite comme préconisé par la DGEJ et souhaité par son fils.</w:t>
      </w:r>
    </w:p>
    <w:p>
      <w:r>
        <w:rPr>
          <w:b/>
        </w:rPr>
        <w:t>E. 5.3.3.2</w:t>
      </w:r>
    </w:p>
    <w:p>
      <w:r>
        <w:t>Certes, la DGEJ a préconisé l'élargissement du droit de visite du recourant, les semaines paires, du samedi 11 heures au dimanche 11 heures à dix reprises, ainsi que sur trois journées consécutives durant les vacances scolaires, avec passages à la gare d'[...], puis, sauf avis contraire du thérapeute, si les visites étaient stabilisées, du samedi 11 heures au dimanche 18 heures, les semaines paires à huit reprises, puis du vendredi soir au dimanche soir. Il résulte du rapport d'évaluation du 6 décembre 2021 qu'B.N.________ est particulièrement demandeur de voir davantage son père, que la mère est encouragée à l'y autoriser, qu'un élargissement du droit de visite peut être envisagé si le cadre est désormais respecté et que les deux parties témoignent d'efforts, et qu'au vu de la fragilité de la situation et de l'enfant, il faut une ouverture progressive et rassurante, afin de permettre à B.N.________ de s'habituer progressivement aux changements et au père de pouvoir rassurer la mère. Il reste que l'exercice du droit de visite d’W.________ sur son fils n'a jamais été stable et régulier et qu'B.N.________ n'a en définitive que très peu vu son père. Ainsi, l'autorité de protection est intervenue dès 2013 en raison des inquiétudes de la mère sur l'alcoolisme du recourant et son comportement potentiellement violent et a fixé le droit aux relations personnelles d’W.________ sur son fils à Point Rencontre. L'exercice de ce droit a été effectif de septembre 2014 à avril 2015 avant que Point Rencontre ne suspende son intervention en raison de l’irrégularité du père. La justice de paix a refixé le droit aux relations personnelles à Point Rencontre notamment par décision du 9 mars 2017, constatant que depuis 2013 une régularité du droit de visite par le biais de Point Rencontre n'avait pu être constatée que depuis le 20 novembre 2016, soit un laps de temps guère supérieur à trois mois, alors qu'B.N.________ était âgé de quatre ans. Dès avril 2017, le père s'est retrouvé en détention. Il en a découlé des annonces par la mère de nouvelles annulations de visites de l’intéressé, sans information préalable. En janvier 2020, le recourant,</w:t>
      </w:r>
    </w:p>
    <w:p>
      <w:r>
        <w:t>- 28 - en libération conditionnelle depuis novembre 2019, a requis la reprise de son droit de visite à Point Rencontre, ce qui a été ordonné par ordonnance de mesures superprovisionnelles du 4 février 2020. W.________ a toutefois été accidenté en juillet 2020, avec pour conséquence une longue hospitalisation. Le père s’est ensuite absenté pour des séjours en Afrique en juillet et août 2021, la reprise du droit de visite ayant été fixée au 19 septembre 2021, ainsi qu’un mois durant l’hiver 2021/2022. Il a enfin décidé récemment de ne plus exercer son droit de visite dès lors que celui-ci avait été limité par ordonnance de mesures d’extrême urgence du 1er décembre 2022. Par ailleurs, les éléments du dossier sont trop peu rassurants quant aux compétences et comportements du recourant. Ainsi, selon le rapport d’évaluation du 6 décembre 2021 de J.________ et T.________, le développement des compétences paternelles a été « réduit » et le père peine à saisir le développement d'B.N.________. La justice de paix a également relevé que le déroulement de la dernière audience avait une fois encore montré qu'W.________ pouvait se montrer virulent dans ses propos. Par ailleurs, les visites régulières sont récentes, le père n'hésitant toutefois pas à quitter la Suisse pour de longs séjours à l'étranger et interrompre son droit de visite, ainsi qu’à renoncer à l’exercer en représailles à une ordonnance de mesures d’extrême urgence, tout en sollicitant un élargissement de celui-ci. Le comportement du recourant est ainsi contradictoire et contraire aux intérêts de son fils. Enfin, on doit relever que la situation d'B.N.________ est fragile. Au regard de ces éléments, il convient d'assurer une ouverture très progressive et rassurante du droit de visite du père, afin de créer une stabilité réelle et un cadre suffisamment sécurisant pour l'enfant. Partant, la décision attaquée, qui prévoit précisément une telle ouverture, doit être confirmée. 6. Le recourant requiert l'instauration d'une curatelle de surveillance des relations personnelles au sens de l'art. 308 al. 2 CC, dont</w:t>
      </w:r>
    </w:p>
    <w:p>
      <w:r>
        <w:t>- 29 - le but serait de permettre d’accompagner les parties dans une amélioration de leur dialogue et de garantir le bon exercice du droit de visite. Il fait en outre valoir que cette mesure est justifiée si l’on estime que l’autorité parentale conjointe ne peut pas être instaurée car les parents ne sont pas aptes à communiquer sans l’intervention de tiers. 6.1 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 TF 5A_415/2020 du 18 mars 2021 consid. 6.1 ; TF 5A_983/2019 du 13 novembre 2020 consid. 9.1 et les références ; CCUR 22 août 2022/144 consid. 4.2.1).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 TF 5A_415/2020 précité consid. 6.1 et les références citées ; CCUR 22 août 2022/144 consid. 4.2.1). La mesure de protection prévue à l'art. 308 al. 2 CC a pour but de faciliter, malgré les tensions existant entre les père et mère, le contact</w:t>
      </w:r>
    </w:p>
    <w:p>
      <w:r>
        <w:t>- 30 - entre l'enfant et le parent qui n'est pas au bénéfice de la garde et de garantir l'exercice du droit de visite.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Elle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CCUR 22 août 2022/144 consid. 4.2.1 ; Meier/Stettler, op. cit., n. 1018, pp. 668-669, et n. 1730, pp. 1125-1126, et les références jurisprudentielles citées ; également TF 5A_415/2020 précité consid. 6.3 ; TF 5A_983/2019 précité consid. 9.1 ; TF 5A_819/2016 du 21 février 2017 consid. 8.3.2). 6.2 En l’espèce, compte tenu des divergences parentales évidentes, la mère s’opposant à l’élargissement du droit de visite et le père n’étant pas toujours adéquat – les derniers événements rapportés étant symptomatiques à cet égard –, il apparaît en effet préférable d’instaurer une curatelle de surveillance des relations personnelles au</w:t>
      </w:r>
    </w:p>
    <w:p>
      <w:r>
        <w:t>- 31 - sens de l’art. 308 al. 2 CC et de faire ainsi droit à la conclusion du père en ce sens. Dans ce cadre, les tâches du curateur consisteront à garantir le bon exercice du droit de visite et à surveiller les relations personnelles entre l’enfant et le titulaire du droit de visite.</w:t>
      </w:r>
    </w:p>
    <w:p>
      <w:r>
        <w:rPr>
          <w:b/>
        </w:rPr>
        <w:t>E. 7</w:t>
      </w:r>
    </w:p>
    <w:p>
      <w:r>
        <w:t>août 2018 consid. 3.1 ; TF 5A_877/2013 du 10 février 2014 consid. 6.1 ; TF 5A_448/2008 du 2 octobre 2008 consid. 4.1 ; ATF 131 III 209 consid. 5, JdT 2005 1201).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w:t>
      </w:r>
    </w:p>
    <w:p>
      <w:r>
        <w:t>- 24 - références citées ; TF 5A_504/2019 du 24 août 2020 consid. 5.1 et les références citées ; TF 5A_23/2020 du 3 juin 2020 consid. 4 ; TF 5A_266/2019 du 5 août 2019 consid. 3.3.1 ; TF 5A_111/2019 du 9 juillet 2019 consid. 2.3 ; TF 5A_210/2018 du 14 décembre 2018 consid. 2.1). Pour fixer le droit aux relations personnelles, le juge fait usage de son pouvoir d'appréciation (art. 4 CC ; ATF 131 III 209 consid. 3 ; ATF 120 II 229 consid. 4a ; TF 5A_41/2020 du 10 juin 2020 consid. 4.1 ; TF 5A_454/2019 du 16 avril 2020 consid. 4.2.1).</w:t>
      </w:r>
    </w:p>
    <w:p>
      <w:r>
        <w:rPr>
          <w:b/>
        </w:rPr>
        <w:t>E. 7.1</w:t>
      </w:r>
    </w:p>
    <w:p>
      <w:r>
        <w:t>En conclusion, le recours doit être partiellement admis et la décision litigieuse réformée en ce sens qu’une mesure de curatelle de surveillance des relations personnelles au sens de l’art. 308 al. 2 CC en faveur de l’enfant est instituée. La requête de mesures provisionnelles de l’intimée doit être rejetée.</w:t>
      </w:r>
    </w:p>
    <w:p>
      <w:r>
        <w:rPr>
          <w:b/>
        </w:rPr>
        <w:t>E. 7.2</w:t>
      </w:r>
    </w:p>
    <w:p>
      <w:r>
        <w:t>Me Patrick Sutter a droit à une indemnité de conseil d’office du recourant. Il a indiqué dans ses listes d’opérations des 30 août et 23 décembre 2022 avoir consacré un total de 36 heures au dossier de recours. En particulier, il invoque 9 téléphones avec le recourant d’une durée totale de 2 heures et 30 minutes, 1 rendez-vous avec l’intéressé d’une durée de 45 minutes et 50 lettres ou courriels au recourant d’une durée globale de 7 heures et 20 minutes, soit un total de 10 heures et 35 minutes. Cette durée accordée aux échanges de toute nature avec le recourant pour la présente procédure de recours est disproportionnée et doit être réduite 5 heures. Il requiert également 1 heures et 30 minutes d’étude et analyse de la décision litigieuse, 4 heures et 50 minutes pour la rédaction du recours et 1 heure et 10 minutes d’étude du dossier avant le dépôt du recours, soit un total de 7 heures et 30 minutes. Cette durée relative à la rédaction du recours de 15 pages apparaît également disproportionnée et doit être réduite à 5 heures. Par ailleurs, il n’y a pas lieu d’indemniser les courriers envoyés à l’autorité de première instance, soit les courriers des 9, 15, 27, 28 juin, 14, 15, 20 septembre, 11 octobre, 17 et 22 novembre 2022 pour un total de 2 heures et 25 minutes, qui ne sauraient être indemnisés dans le cadre de la présente procédure de deuxième instance. Il convient encore de retrancher 10 minutes pour la</w:t>
      </w:r>
    </w:p>
    <w:p>
      <w:r>
        <w:t>- 32 - rédaction de chacune des listes des opérations, soit 20 minutes pour les deux listes, dès lors qu’il s’agit d’opérations de clôture du dossier qui n’ont pas à figurer dans une liste d’assistance judiciaire (cf. CCUR 20 juillet 2022/125 ; CCUR 24 février 2022/28 ; CREC 3 septembre 2014/312). Enfin, le poste « opérations après envoi de la liste des opérations » par 1 heure et 30 minutes doit être supprimé de la liste des opérations du 30 août 2022, ce poste étant revendiqué à nouveau dans la dernière liste des opérations du 23 décembre 2022 et ne devant être indemnisé qu’une seule fois. Au vu de ce qui précède et dans la mesure où le reste des heures ressortant des listes d’opérations peut être admis sans rectification, il est retenu en définitive une durée totale indemnisable de 23 heures et 40 minutes. Il s'ensuit qu'au tarif horaire de 180 fr. (art. 2 al. 1 et. a RAJ [règlement du 7 décembre 2010 sur l'assistance judiciaire en matière civile ; BLV 211.02.3]), l’indemnité de Me Sutter doit être fixée à 4’680 fr. arrondis, soit 4’260 fr. (23.67 h x 180 fr.) à titre d’honoraires, 85 fr. (2 % [art. 3bis al. 1 RAJ] x 4’260 fr.) de débours et 335 fr. (7.7 % x [4’260 fr. + 85 fr.]) de TVA sur le tout (art. 2 al. 3 RAJ ; art. 25 al. 1 LTVA [Loi fédérale du 12 juin 2009 régissant la taxe sur la valeur ajoutée ; RS 641.20]).</w:t>
      </w:r>
    </w:p>
    <w:p>
      <w:r>
        <w:rPr>
          <w:b/>
        </w:rPr>
        <w:t>E. 7.3</w:t>
      </w:r>
    </w:p>
    <w:p>
      <w:r>
        <w:t>Les frais judiciaires de deuxième instance, arrêtés à 800 fr. (art. 74a al. 1 TFJC [tarif du 28 septembre 2010 des frais judiciaires civils ; BLV 270.11.5]), y compris pour la requête de mesures provisionnelles et d’extrême urgence, sont mis par moitié à la charge du recourant, mais provisoirement laissés à la charge de l’Etat (art. 122 al. 1 let. b CPC). ]), et par moitié à la charge de l’intimée, dès lors que chacune des parties succombe partiellement (art. 106 al. 2 CPC).</w:t>
      </w:r>
    </w:p>
    <w:p>
      <w:r>
        <w:rPr>
          <w:b/>
        </w:rPr>
        <w:t>E. 7.4</w:t>
      </w:r>
    </w:p>
    <w:p>
      <w:r>
        <w:t>Dans ces conditions, il est considéré que les dépens sont compensés, de sorte qu’il n’en est pas alloué.</w:t>
      </w:r>
    </w:p>
    <w:p>
      <w:r>
        <w:rPr>
          <w:b/>
        </w:rPr>
        <w:t>E. 7.5</w:t>
      </w:r>
    </w:p>
    <w:p>
      <w:r>
        <w:t>Le bénéficiaire de l’assistance judiciaire est tenu au remboursement des frais judiciaires de deuxième instance et de l’indemnité allouée à son conseil d’office provisoirement laissés à la charge de l’Etat, dès qu’il sera en mesure de le faire (art. 123 CPC).</w:t>
      </w:r>
    </w:p>
    <w:p>
      <w:r>
        <w:t>- 33 -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partiellement admis. II. La requête de mesures provisionnelles de l’intimée A.N.________ est rejetée. III. La décision rendue le 12 mai 2022 par la Justice de paix du district de Lavaux-Oron est réformée par l’ajout des chiffres IIbis et IIter comme suit : II.bis institue une mesure de curatelle de surveillance des relations personnelles au sens de l’art. 308 al. 2 CC en faveur de l’enfant B.N.________, nomme Z.________, assistante sociale pour la protection des mineurs auprès de l’Office régional de protection des mineurs de l’[...] de la Direction générale de l’enfance et de la jeunesse, en qualité de curatrice, la curatrice ayant pour tâche de garantir le bon exercice du droit de visite et de surveiller les relations personnelles entre l’enfant et le titulaire du droit de visite.</w:t>
      </w:r>
    </w:p>
    <w:p>
      <w:r>
        <w:t>- 34 - II.ter invite la Justice de paix du district de Lavaux-Oron à assurer le suivi de la mesure de curatelle de surveillance. La décision est maintenue pour le surplus. IV. L’indemnité d’office de Me Patrick Sutter, conseil du recourant W.________, est arrêtée à 4’680 fr. (quatre mille six cent huitante francs), TVA et débours inclus, et provisoirement laissée à la charge de l’Etat. V. Les frais judiciaires de deuxième instance, arrêtés à 800 fr. (huit cents francs), sont mis par 400 fr. (quatre cents francs) à la charge du recourant W.________, mais provisoirement laissés à la charge de l’Etat, et par 400 fr. (quatre cents francs) à la charge de l’intimée A.N.________. VI. Les dépens de deuxième instance sont compensés. VII. Le bénéficiaire de l’assistance judiciaire W.________ est, dans la mesure de l’art. 123 CPC, tenu au remboursement des frais judiciaires de deuxième instance et de l’indemnité allouée à son conseil d’office provisoirement laissés à la charge de l’Etat, dès qu’il sera en mesure de le faire. VIII. L'arrêt est exécutoire. La présidente : Le greffier :</w:t>
      </w:r>
    </w:p>
    <w:p>
      <w:r>
        <w:t>- 35 - Du L'arrêt qui précède, dont la rédaction a été approuvée à huis clos, est notifié à : - Me Patrick Sutter (pour W.________), - Me Peter Schaufelberger (pour A.N.________), - Mme Z.________, curatrice, Office régional de protection des mineurs de l’[...] de la Direction générale de l’enfance et de la jeunesse, et communiqué à : - Mme la Juge de paix du district de Lavaux-Oron,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