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LQ16.024924 vom 6. Dezember 2016</w:t>
      </w:r>
    </w:p>
    <w:p>
      <w:r>
        <w:t>VD Tribunal cantonal, 2016-12-06, FR</w:t>
      </w:r>
    </w:p>
    <w:p>
      <w:r>
        <w:rPr>
          <w:b/>
        </w:rPr>
        <w:t xml:space="preserve">Quelle: </w:t>
      </w:r>
      <w:r>
        <w:t>https://mcp.opencaselaw.ch/entscheid/vd_gerichte_LQ16.024924</w:t>
      </w:r>
    </w:p>
    <w:p>
      <w:r>
        <w:t>FR: VD_GERICHTE LQ16.024924 du 6 décembre 2016</w:t>
      </w:r>
    </w:p>
    <w:p>
      <w:r>
        <w:t>IT: VD_GERICHTE LQ16.024924 del 6 dicembre 2016</w:t>
      </w:r>
    </w:p>
    <w:p>
      <w:pPr>
        <w:pStyle w:val="Heading2"/>
      </w:pPr>
      <w:r>
        <w:t>Erwägungen</w:t>
      </w:r>
    </w:p>
    <w:p>
      <w:r>
        <w:rPr>
          <w:b/>
        </w:rPr>
        <w:t>E. 1</w:t>
      </w:r>
    </w:p>
    <w:p>
      <w:r>
        <w:t>Le recours est dirigé contre une décision de l’autorité de protection fixant les modalités de l’exercice du droit de visite d’un père sur sa fille mineure (art. 273 ss CC).</w:t>
      </w:r>
    </w:p>
    <w:p>
      <w:r>
        <w:rPr>
          <w:b/>
        </w:rPr>
        <w:t>E. 1.1</w:t>
      </w:r>
    </w:p>
    <w:p>
      <w:r>
        <w:t>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w:t>
      </w:r>
    </w:p>
    <w:p>
      <w:r>
        <w:t>- 7 -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le père de la mineure concernée, partie à la procédure, le présent recours est recevable. Il en va de même des pièces produites en deuxième instance, si tant est qu’elles ne figurent pas déjà au dossier.</w:t>
      </w:r>
    </w:p>
    <w:p>
      <w:r>
        <w:t>- 8 - L'autorité de protection a été consultée conformément à l’art. 450d al. 1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2.3</w:t>
      </w:r>
    </w:p>
    <w:p>
      <w:r>
        <w:t>En l’espèce, l’autorité de protection a procédé à l’audition des parents de l’enfant lors de son audience du 21 septembre 2016, de sorte que leur droit d’être entendu a été respecté. A.N.________ était trop jeune pour être entendue. La décision entreprise est donc formellement correcte et peut être examinée sur le fond.</w:t>
      </w:r>
    </w:p>
    <w:p>
      <w:r>
        <w:t>- 9 -</w:t>
      </w:r>
    </w:p>
    <w:p>
      <w:r>
        <w:rPr>
          <w:b/>
        </w:rPr>
        <w:t>E. 3</w:t>
      </w:r>
    </w:p>
    <w:p>
      <w:r>
        <w:t>Le recourant conteste la fréquence et la durée de son droit de visite ainsi que l’exercice de celui-ci par l’intermédiaire de Point Rencontre, à l’intérieur des locaux exclusivement. Il considère que cette mesure est disproportionnée. Il soutient en substance qu’il a démontré être un bon père, qu’aucun reproche ne peut lui être fait s’agissant de son comportement et qu’aucun élément ne démontre une mise en danger de l’enfant.</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La pratique du droit de la famille [FamPra.ch] 2014 p. 433 ; ATF 131 III 209 consid. 5, JdT 2005 1201).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w:t>
      </w:r>
    </w:p>
    <w:p>
      <w:r>
        <w:t>- 10 -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en outre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w:t>
      </w:r>
    </w:p>
    <w:p>
      <w:r>
        <w:t>- 11 - des limites supportables pour l’enfant (TF 5A_172/2012 du 16 mai 2012 consid. 4.1.1 et les références citées, résumé in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 faire preuve d’une certaine retenue lors du choix de cette mesure (TF 5A_401/2014 du 18 août 2014 consid. 3.2.2 et la jurisprudence citée ; Meier/Stettler, Droit de la filiation, 5e éd., Bâle 2014,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FamPra.ch 2008 p. 172).</w:t>
      </w:r>
    </w:p>
    <w:p>
      <w:r>
        <w:rPr>
          <w:b/>
        </w:rPr>
        <w:t>E. 3.2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 placement de l’enfant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w:t>
      </w:r>
    </w:p>
    <w:p>
      <w:r>
        <w:t>- 12 - Guide pratique COPMA, n. 1.186, p. 75 ; TF 5A_520/2008 du 1er septembre 2008 consid. 3 ; CCUR 13 février 2014/30 et les références citées).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3.3</w:t>
      </w:r>
    </w:p>
    <w:p>
      <w:r>
        <w:t>En l’espèce, il ressort du dossier que lors de l’audience du 13 juillet 2016, les parties ont convenu que le droit de visite du recourant s’exercerait une fois par semaine en présence de la grand-mère maternelle, à charge pour l’intimée de l’organiser avec la grand-mère et le père et d’en informer ce dernier le lundi soir au plus tard. Or, B.________ n’a pas respecté ce droit. Elle a déclaré que sa mère, qui travaillait, n’était pas toujours disponible pour assister à l’exercice de ce droit. Elle a en outre affirmé que le père détenait de la drogue chez lui et avait des accès de colère, raisons pour lesquelles elle refusait qu’il exerce de son droit de visite sans la présence d’une personne de confiance. Se fondant sur ces allégations, les premiers juges ont restreint le droit de visite du père. Le recourant conteste toute attitude violente et toute consommation de drogue. S’agissant des allégations de violence, on ne voit pas au dossier que le père aurait été dénoncé par l’intimée pour de tels actes à son encontre ou à l’encontre de leur enfant, ni qu’il aurait un casier judiciaire. En outre, il résulte des pièces produites qu’il se préoccupe des besoins de sa fille et de la mère de celle-ci. En effet, il a aidé B.________ à trouver un appartement et paie des pensions alimentaires pour A.N.________. Il a également un travail et une situation financière et professionnelle stable. Au surplus, au regard notamment de ses conclusions et du contenu de ses écritures, il ne paraît pas virulent, mais plutôt soucieux de pouvoir trouver une solution afin de conserver et approfondir ses liens avec sa fille, ce qui est tout à fait légitime. Quant aux allégations relatives à une éventuelle consommation de drogue, le recourant s’est déclaré prêt à se soumettre à des analyses de sang et</w:t>
      </w:r>
    </w:p>
    <w:p>
      <w:r>
        <w:t>- 13 - d’urine pour démontrer qu’il ne se drogue pas et n’est sous l’influence d’aucune substance toxique et interdite. Les allégations de la mère ne sont donc étayées par aucun élément au dossier. Par ailleurs, il sied de relever que cette dernière n’a pas respecté le droit de visite du père tel que convenu lors de l’audience du 13 juillet 2016 alors même qu’il était prévu avec un accompagnant. De plus, il ressort d’un document du 26 octobre 2016 qu’elle présente une fragilité psychique ainsi qu’une humeur fluctuante, voire dépressive. Il résulte de ce qui précède qu’en l’état et sur la base des seules allégations de la mère, il n’est pas établi de manière vraisemblable que A.N.________ pourrait être en danger lors de l’exercice du droit de visite par son père. Le recours doit par conséquent être admis. Les conclusions du recourant n’étant pas très précises quant aux modalités de son droit de visite, celui-ci n’indiquant en particulier aucun jour pour l’exercice de ce droit, il convient d'annuler l’ordonnance attaquée et de renvoyer la cause au juge de paix, au demeurant seul compétent pour rendre des mesures provisionnelles (art. 4 al. 1 et 5 let. j LVPAE), pour nouvelle instruction et nouvelle décision.</w:t>
      </w:r>
    </w:p>
    <w:p>
      <w:r>
        <w:rPr>
          <w:b/>
        </w:rPr>
        <w:t>E. 4</w:t>
      </w:r>
    </w:p>
    <w:p>
      <w:r>
        <w:t>Le recourant requiert encore que la mère dépose les pièces d’identité de l’enfant auprès de la justice de paix, l’intimée ayant évoqué la possibilité de quitter la Suisse pour s’installer au [...]. Il relève également que la question d’une curatelle éducative n’a pas été discutée par les premiers juges. Ces questions ne sont pas l'objet de la décision attaquée. Les critiques y relatives sortent par conséquent de l'objet du litige et sont dans cette mesure irrecevables.</w:t>
      </w:r>
    </w:p>
    <w:p>
      <w:r>
        <w:t>- 14 -</w:t>
      </w:r>
    </w:p>
    <w:p>
      <w:r>
        <w:rPr>
          <w:b/>
        </w:rPr>
        <w:t>E. 4.1</w:t>
      </w:r>
    </w:p>
    <w:p>
      <w:r>
        <w:t>et 4.28 ; Tappy, CPC commenté, Bâle 2011, n. 34 ad art. 107 CPC, p. 426). L’intimée pour sa part ne s’est pas déterminée et ne peut donc être considérée comme une partie qui aurait succombé au litige. Par ces motifs, la Chambre des curatelles du Tribunal cantonal, statuant à huis clos, prononce : I. Le recours est admis. II. L’ordonnance attaquée est annulée et la cause est renvoyée à la Juge de paix du district de Morges pour nouvelle instruction et nouvelle décision. III. L’arrêt est rendu sans frais. IV. L'arrêt motivé est exécutoire. La présidente : La greffière :</w:t>
      </w:r>
    </w:p>
    <w:p>
      <w:r>
        <w:t>- 15 - Du L'arrêt qui précède, dont le dispositif a été communiqué par écrit aux intéressés le 8 décembre 2016, est notifié à : - Me Martine Gardiol (pour E.N.________), - Me Franck-Olivier Karlen (pour B.________) - Service de protection de la jeunesse, Unité évaluation et missions spécifiques, et communiqué à : - Mme la Juge de paix du district de Morges,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En conclusion, le recours de E.N.________ doit être admis et l’ordonnance entreprise annulée, la cause étant renvoyée au juge de paix pour nouvelle instruction et nouvelle décision. Le présent arrêt peut être rendu sans frais judiciaires (art. 74a al. 4 TFJC [Tarif du 28 septembre 2010 des frais judiciaires civils ; RSV 270.11.5]). Quand bien même le recourant obtient gain de cause et a procédé par l’intermédiaire d’un mandataire professionnel, il n’y a pas lieu de lui allouer des dépens de deuxième instance. En effet, la justice de paix n’a pas qualité de partie, mais d’autorité de première instance, de sorte qu’elle ne saurait être condamnée à des dépens (ATF 140 III 385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