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LQ15.036441 vom 27. Oktober 2015</w:t>
      </w:r>
    </w:p>
    <w:p>
      <w:r>
        <w:t>VD Tribunal cantonal, 2015-10-27, FR</w:t>
      </w:r>
    </w:p>
    <w:p>
      <w:r>
        <w:rPr>
          <w:b/>
        </w:rPr>
        <w:t xml:space="preserve">Quelle: </w:t>
      </w:r>
      <w:r>
        <w:t>https://mcp.opencaselaw.ch/entscheid/vd_gerichte_LQ15.036441</w:t>
      </w:r>
    </w:p>
    <w:p>
      <w:r>
        <w:t>FR: VD_GERICHTE LQ15.036441 du 27 octobre 2015</w:t>
      </w:r>
    </w:p>
    <w:p>
      <w:r>
        <w:t>IT: VD_GERICHTE LQ15.036441 del 27 ottobre 2015</w:t>
      </w:r>
    </w:p>
    <w:p>
      <w:pPr>
        <w:pStyle w:val="Heading2"/>
      </w:pPr>
      <w:r>
        <w:t>Erwägungen</w:t>
      </w:r>
    </w:p>
    <w:p>
      <w:r>
        <w:rPr>
          <w:b/>
        </w:rPr>
        <w:t>E. 1</w:t>
      </w:r>
    </w:p>
    <w:p>
      <w:r>
        <w:t>Le recours est dirigé contre une ordonnance de mesures provisionnelles du juge de paix fixant provisoirement les modalités de l’exercice du droit de visite d’un père sur son fils mineur (art. 273 ss CC [Code civil suisse du 10 décembre 1907; RS 210]).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w:t>
      </w:r>
    </w:p>
    <w:p>
      <w:r>
        <w:t>- 7 -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CCUR 28 février 2013/56). Conformément à l'art. 450d CC, la Chambre des curatelles donne à la justice de paix (art. 4 al. 1 LVPAE) l'occasion de prendre position (al. 1), cette autorité pouvant, au lieu de prendre position, reconsidérer sa décision (al. 2).</w:t>
      </w:r>
    </w:p>
    <w:p>
      <w:r>
        <w:t>- 8 - b) En l’espèce, interjeté en temps utile par le père du mineur concerné,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(cf. art. 450d al. 1 CC) et la mère de l’enfant n'a pas été invitée à se déterminer (art. 312 al. 1 CPC, applicable par renvoi de l'art. 450f CC).</w:t>
      </w:r>
    </w:p>
    <w:p>
      <w:r>
        <w:rPr>
          <w:b/>
        </w:rPr>
        <w:t>E. 2</w:t>
      </w:r>
    </w:p>
    <w:p>
      <w:r>
        <w:t>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b) Aux termes de l’art. 275 al. 1 CC, l’autorité de protection du domicile de l’enfant est compétente pour prendre les mesures nécessaires concernant les relations personnelles;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w:t>
      </w:r>
    </w:p>
    <w:p>
      <w:r>
        <w:t>- 9 - c)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ou le tiers qui en a été chargé, à moins que son âge ou d’autres justes motifs ne s’y opposent. d) En l’espèce, la décision a été rendue par le juge de paix, qui a fondé sa compétence sur les art. 275 al. 1 CC et 5 LVPAE. Ce magistrat a procédé à l’audition des parents de l’enfant lors de son audience du 8 septembre 2015, de sorte que le droit d’être entendu de ceux-ci a été respecté (cf. art. 447 al. 1 CC). Vu son jeune âge, il a été renoncé à l’audition de B.F.________ (art. 314a al. 1 CC). La décision entreprise est donc formellement correcte et peut être examinée sur le fond.</w:t>
      </w:r>
    </w:p>
    <w:p>
      <w:r>
        <w:rPr>
          <w:b/>
        </w:rPr>
        <w:t>E. 3</w:t>
      </w:r>
    </w:p>
    <w:p>
      <w:r>
        <w:t>A titre de mesure d’instruction, le recourant requiert l’audition de B.________, une amie commune des parties, afin qu’elle soit interrogée sur le déroulement de la soirée «Geneva Hardcore Italia» du samedi 26 septembre 2015, au cours de laquelle elle aurait vu A.F.________ consommer un produit de type ectasy. Le recourant demande également que cette dernière soit soumise à des examens toxicologiques en vue d’établir sa consommation présumée de produits stupéfiants ainsi que les risques qui en découlent pour leur enfant. Il n’y a pas lieu de donner suite à la réquisition d’audition de témoin, qui n’est pas de nature à influer sur l’exercice du droit de visite du père, seule question litigieuse en recours. Il en va de même de la réquisition tendant à ce que A.F.________ soit soumise à des examens toxicologiques. Au demeurant, dans le cadre de son évaluation, le SPJ sera amené à se déterminer plus précisément sur la question de la</w:t>
      </w:r>
    </w:p>
    <w:p>
      <w:r>
        <w:t>- 10 - consommation de stupéfiants par l’un et l’autre des parents et sur les implications d’une éventuelle consommation sur le bien de l’enfant.</w:t>
      </w:r>
    </w:p>
    <w:p>
      <w:r>
        <w:rPr>
          <w:b/>
        </w:rPr>
        <w:t>E. 4</w:t>
      </w:r>
    </w:p>
    <w:p>
      <w:r>
        <w:t>Le recourant remet en cause l’exercice de son droit de visite par l‘intermédiaire de Point Rencontre. Il affirme que, s’il a accepté que le droit de visite se déroule en présence d’une personne de confiance, c’est par pur gain de paix et non en reconnaissance d’une quelconque faute. Il fait en outre valoir que les accusations de la mère n’ont jamais été établies et que ses propres capacités de s’occuper de son fils ne sauraient être mises en doute. Enfin, il conteste consommer des produits stupéfiants. a)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en particulier prévoit que le père ou la mère qui ne détient pas l’autorité parentale ou la garde ainsi que l’enfant mineur ont réciproquement le droit d’entretenir les relations personnelles indiquées par les circonstances. Ce droit peut cependant être limite pour de justes motifs, notamment lorsque le développement corporel, psychique ou moral de l’enfant est compromis, même momentanément, par le comportement du parent avec lequel il est en communauté (art. 274 al 2 CC; Chaix, Commentaire romand, 2010, n. 20 ad art. 176 CC, p. 1240 ; TF 5A_826/2009 du 22 mars 2010 c. 2.1).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publié in La pratique du droit de la famille [FamPra.ch] 2014</w:t>
      </w:r>
    </w:p>
    <w:p>
      <w:r>
        <w:t>- 11 - p. 433; TF 5A_716/2010 du 23 février 2011 c. 4 et réf., publié in FamPra.ch 2011 p. 491; ATF 131 II 209 c. 5; ATF 123 II 445 c. 3b). Le droit aux relations personnelles vise à sauvegarder le lien existant entre parents et enfants (Hegnauer, Droit suisse de la filiation, 4e éd., 1998,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c. 2.1, JdT 2005 I 206).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5P.33/2001 du 5 juillet 2001 c.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w:t>
      </w:r>
    </w:p>
    <w:p>
      <w:r>
        <w:t>- 12 - qui justifient le refus ou le retrait des relations personnelles; ils ne le sont que lorsqu’ils ont pour conséquence que ces relations portent atteinte au bien de l’enfant (TF 5A_756/2013 du 9 janvier 2014 c. 5.1.2; TF 5A_663/2012 du 12 mars 2013 c. 4.1, publié in FamPra.ch 2013 p. 806; TF 5A_172/2012 du 16 mai 2012 c. 4.1.1, rés. in Revue de la protection des mineurs et des adultes [RMA] 2012 p. 300) Conformément au principe de proportionnalité, il importe en outre que cette menace ne puisse être écartée par d’autres mesures appropriées (TF 5A_448/2008 du 2 octobre 2008; TF 5P.131/2006 du 25 août 2006, publié in FamPra.ch 2007 p. 167; ATF 131 I 209, JdT 2005 I 2002; ATF 118 II 21 c. 3c, JdT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 5, JdT 2005 I 201). L’attitude dénigrante d’un parent est susceptible de mettre en danger le développement psychologique de l’enfant (ATF 127 III 295 c. 4a). Le retrait de tout droit à des relations personnelles constitue l’ultima ratio et ne peut être ordonné dans l’intérêt de l’enfant que si les effets négatifs des relations personnelles ne peuvent être maintenus dans des limites supportables pour l’enfant (TF 5A_877/2013 du 10 février 2014 c. 6.1;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Revue du droit de la tutelle (RDT) 2/2009 p. 111). L’établissement d’un droit de visite</w:t>
      </w:r>
    </w:p>
    <w:p>
      <w:r>
        <w:t>- 13 - surveillé nécessite des indices concrets de mise en danger du bien de l’enfant (TF 5P.131/2006 du 25 août 2006, publié in FamPra.ch 2007 p. 167;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 2, publié in FamPra.ch 2008 p. 173). b)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2012, n. 1.184, p. 74).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TF 5A_520/2008 du 1er septembre 2008 c. 3; cf. art. 261 al. 1 CPC). c) En l’espèce, il ressort du dossier que le recourant a admis avoir consommé régulièrement des produits stupéfiants en 2012-2013. Il affirme certes que tel n’est plus le cas et en veut pour preuve le contrôle d’urine auquel il s’est soumis le 4 août 2015 et qui s’est révélé négatif. Toutefois, en soi, ce seul test ne lève pas les doutes qui subsistent au sujet de la persistance de la consommation de produits stupéfiants. Des investigations plus importantes sont nécessaires. En outre, les difficultés</w:t>
      </w:r>
    </w:p>
    <w:p>
      <w:r>
        <w:t>- 14 - de communication entre les parents et l’ordonnance d’éloignement prononcée à l’encontre du recourant, qui n’a en l’état pas été rapportée, nécessitent que le passage se fasse dans un lieu neutre. Enfin, et surtout, le père n’a pas revu son fils, âgé d’à peine seize mois, depuis le mois de juillet 2015. Des relations dites usuelles sont ainsi de toute manière exclue. En tout état de cause, il importe que la reprise des contacts avec le père se fasse progressivement. Il résulte de ce qui précède que c’est à juste titre que le premier juge a institué un droit de visite surveillé, par l’intermédiaire de Point Rencontre. Dans la mesure où il s’agit d’une situation fixée par voie de mesures provisionnelles, celle-ci pourra être revue dès que le SPJ aura rendu son rapport, un délai de cinq mois lui ayant été imparti à cet effet. Si ce dernier devait tarder à rendre son rapport, une réévaluation de la situation provisoire pourrait cependant avoir lieu.</w:t>
      </w:r>
    </w:p>
    <w:p>
      <w:r>
        <w:rPr>
          <w:b/>
        </w:rPr>
        <w:t>E. 5</w:t>
      </w:r>
    </w:p>
    <w:p>
      <w:r>
        <w:t>En conclusion, le recours de G.________ doit être rejeté et l’ordonnance entreprise confirmée. Le présent arrêt peut être rendu sans frais judiciaires (art. 74a al. 4 TFJC [Tarif du 28 septembre 2010 des frais judiciaires civils; RSV 270.11.5]). Le recourant succombant et l’intimée n’ayant pas été invitée à se déterminer, il n’y a pas lieu d’allouer de dépens de deuxième instance.</w:t>
      </w:r>
    </w:p>
    <w:p>
      <w:r>
        <w:t>- 15 - Par ces motifs, la Chambre des curatelles du Tribunal cantonal, statuant à huis clos, prononce : I. Le recours est rejeté. II. L’ordonnance est confirmée. III. L’arrêt est rendu sans frais. IV. L'arrêt motivé est exécutoire. La présidente : La greffière : Du 30 octobre 2015 Le dispositif de l'arrêt qui précède est communiqué par écrit aux intéressés. La greffière : Du</w:t>
      </w:r>
    </w:p>
    <w:p>
      <w:r>
        <w:t>- 16 - L'arrêt qui précède, dont la rédaction a été approuvée à huis clos, est notifié à : - Me Joël Crettaz (pour G.________), - Me Sébastien Pedroli (pour A.F.________), et communiqué à : -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