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LQ14.017618 vom 5. Dezember 2016</w:t>
      </w:r>
    </w:p>
    <w:p>
      <w:r>
        <w:t>VD Tribunal cantonal, 2016-12-05, FR</w:t>
      </w:r>
    </w:p>
    <w:p>
      <w:r>
        <w:rPr>
          <w:b/>
        </w:rPr>
        <w:t xml:space="preserve">Quelle: </w:t>
      </w:r>
      <w:r>
        <w:t>https://mcp.opencaselaw.ch/entscheid/vd_gerichte_LQ14.017618</w:t>
      </w:r>
    </w:p>
    <w:p>
      <w:r>
        <w:t>FR: VD_GERICHTE LQ14.017618 du 5 décembre 2016</w:t>
      </w:r>
    </w:p>
    <w:p>
      <w:r>
        <w:t>IT: VD_GERICHTE LQ14.017618 del 5 dicembre 2016</w:t>
      </w:r>
    </w:p>
    <w:p>
      <w:pPr>
        <w:pStyle w:val="Heading2"/>
      </w:pPr>
      <w:r>
        <w:t>Erwägungen</w:t>
      </w:r>
    </w:p>
    <w:p>
      <w:r>
        <w:rPr>
          <w:b/>
        </w:rPr>
        <w:t>E. 1</w:t>
      </w:r>
    </w:p>
    <w:p>
      <w:r>
        <w:t>Le recours est dirigé contre une décision de la justice de paix fixant les modalités de l’exercice du droit de visite d’un père sur son fils mineur (art. 273 ss CC).</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w:t>
      </w:r>
    </w:p>
    <w:p>
      <w:r>
        <w:t>- 12 - CC et 318 al. 1 let. c ch. 2 CPC [Code de procédure civile du 19 décembre 2008 ;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1.2</w:t>
      </w:r>
    </w:p>
    <w:p>
      <w:r>
        <w:t>En l’espèce, motivé et interjeté en temps utile par le père du mineur concerné,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mère de l’enfant n’a pas été invitée à se déterminer (art. 312 al. 1 CPC, applicable par renvoi de l'art. 450f CC).</w:t>
      </w:r>
    </w:p>
    <w:p>
      <w:r>
        <w:rPr>
          <w:b/>
        </w:rPr>
        <w:t>E. 2</w:t>
      </w:r>
    </w:p>
    <w:p>
      <w:r>
        <w:t>- 13 -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Dès lors que la cause présente un élément d’extranéité,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w:t>
      </w:r>
    </w:p>
    <w:p>
      <w:r>
        <w:t>- 14 -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 ATF 129 II 288 consid. 4.1). En l’espèce, au moment du dépôt de la requête du père, l’enfant avait sa résidence habituelle au foyer [...], à [...]. Les autorités suisses étaient donc compétentes pour statuer sur la question des</w:t>
      </w:r>
    </w:p>
    <w:p>
      <w:r>
        <w:t>- 15 - relations personnelles du recourant à l’égard de son fils et le droit suisse était applicable. Les parties ne le contestent du reste pas.</w:t>
      </w:r>
    </w:p>
    <w:p>
      <w:r>
        <w:rPr>
          <w:b/>
        </w:rPr>
        <w:t>E. 2.3.1</w:t>
      </w:r>
    </w:p>
    <w:p>
      <w:r>
        <w:t>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w:t>
      </w:r>
    </w:p>
    <w:p>
      <w:r>
        <w:rPr>
          <w:b/>
        </w:rPr>
        <w:t>E. 2.3.2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2.3.3</w:t>
      </w:r>
    </w:p>
    <w:p>
      <w:r>
        <w:t>En l’espèce, la décision a été rendue par la justice de paix, qui a fondé sa compétence sur l’art. 275 al. 1 CC. Bien que régulièrement cités à comparaître à l’audience de la justice de paix du 9 août 2016, M.________ et W.________ ne s’y sont pas présentés. L.________, âgé de neuf ans, n’a pas été entendu par l’autorité de protection. Il a toutefois eu l’occasion de s’exprimer auprès de l’assistant social du SPJ et des experts. Dans cette mesure, son droit d’être entendu a été respecté.</w:t>
      </w:r>
    </w:p>
    <w:p>
      <w:r>
        <w:rPr>
          <w:b/>
        </w:rPr>
        <w:t>E. 2.4</w:t>
      </w:r>
    </w:p>
    <w:p>
      <w:r>
        <w:t>La décision entreprise est donc formellement correcte et peut être examinée sur le fond.</w:t>
      </w:r>
    </w:p>
    <w:p>
      <w:r>
        <w:t>- 16 -</w:t>
      </w:r>
    </w:p>
    <w:p>
      <w:r>
        <w:rPr>
          <w:b/>
        </w:rPr>
        <w:t>E. 3</w:t>
      </w:r>
    </w:p>
    <w:p>
      <w:r>
        <w:t>Le recourant s’oppose à ce que son fils réside en foyer. Il ne sollicite toutefois pas sa garde et ne propose pas d’autre alternative crédible. Il n’y a pas de raison de remettre en cause la garde de fait et l’autorité parentale confiées au SPJ, d’autant que selon les experts [...] et [...], le foyer apporte à l’enfant une stabilité et un sentiment de sécurité.</w:t>
      </w:r>
    </w:p>
    <w:p>
      <w:r>
        <w:rPr>
          <w:b/>
        </w:rPr>
        <w:t>E. 4</w:t>
      </w:r>
    </w:p>
    <w:p>
      <w:r>
        <w:t>Le recourant demande que son droit de visite s’exerce à son domicile, à [...], et que l’enfant soit accompagné par sa mère et les services compétents du Child Protection Unit de son district.</w:t>
      </w:r>
    </w:p>
    <w:p>
      <w:r>
        <w:rPr>
          <w:b/>
        </w:rPr>
        <w:t>E. 4.1</w:t>
      </w:r>
    </w:p>
    <w:p>
      <w:r>
        <w:t>;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et les références citées,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du 18 août 2014 consid. 3.2.2 et la jurisprudence citée ; Meier/Stettler, Droit de la filiation, 5e éd., Bâle 2014, nn. 790 ss, pp. 521 ss). Il y a ainsi une gradation dans les mesures de protection de l'enfant - retrait ou refus des relations personnelles, droit de visite</w:t>
      </w:r>
    </w:p>
    <w:p>
      <w:r>
        <w:t>- 19 - surveillé, droit de visite au Point Rencontre - et le principe de proportionnalité n'est respecté que si des mesures moins contraignantes ne suffisent pas pour garantir la protection de l'enfant (TF 1C.219/2007 du 19 octobre 2007 consid. 2, publié in FamPra.ch 2008 p. 172).</w:t>
      </w:r>
    </w:p>
    <w:p>
      <w:r>
        <w:rPr>
          <w:b/>
        </w:rPr>
        <w:t>E. 4.2</w:t>
      </w:r>
    </w:p>
    <w:p>
      <w:r>
        <w:t>En l’espèce, le recourant demande que son droit de visite s’exerce à son domicile, à [...]. Par arrêt du 27 juillet 2016, la Chambre des curatelles a jugé, en mesures provisionnelles, qu’une telle solution n’était pas envisageable car impossible à organiser. Elle a en effet considéré qu’une surveillance des visites était nécessaire compte tenu des comportements violents et inadéquats du père et de l’absence de contacts entre ce dernier et son fils depuis plusieurs années. Elle a également relevé qu’un droit de visite à [...] nécessitait des moyens financiers et techniques (comme un passeport pour l’enfant), dont aucun des parents ne disposait à l’heure actuelle. Le recourant ne démontre ni n’allègue aucune évolution de la situation. Le raisonnement de l’arrêt précité, qui est toujours d’actualité, peut donc être confirmé.</w:t>
      </w:r>
    </w:p>
    <w:p>
      <w:r>
        <w:rPr>
          <w:b/>
        </w:rPr>
        <w:t>E. 5</w:t>
      </w:r>
    </w:p>
    <w:p>
      <w:r>
        <w:t>Le recourant se plaint de ne pas pouvoir joindre son fils par téléphone contrairement au chiffre VI de la décision attaquée. Il résulte toutefois tant de l’arrêt de la Chambre des curatelles du 27 juillet 2016 que des pièces au dossier que le père entend imposer sa conception des choses, en particulier des horaires. En effet, il appelle systématiquement hors des plages horaires fixées, en particulier au milieu de la nuit, et raccroche directement ou insulte les intervenants. Son grief, au demeurant non étayé, est dès lors inconsistant et doit être rejeté.</w:t>
      </w:r>
    </w:p>
    <w:p>
      <w:r>
        <w:rPr>
          <w:b/>
        </w:rPr>
        <w:t>E. 6</w:t>
      </w:r>
    </w:p>
    <w:p>
      <w:r>
        <w:t>En conclusion, le recours de W.________ doit être rejeté et la décision entreprise confirmée.</w:t>
      </w:r>
    </w:p>
    <w:p>
      <w:r>
        <w:t>- 20 - Le présent arrêt peut être rendu sans frais judiciaires (art. 74a al. 4 TFJC [Tarif du 28 septembre 2010 des frais judiciaires civils ; RSV 270.11.5]). Il n’y a pas lieu d’allouer de dépens à l'intimée, qui n’a pas été invitée à se déterminer.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M. W.________, - Mme M.________,</w:t>
      </w:r>
    </w:p>
    <w:p>
      <w:r>
        <w:t>- 21 - - M. D.________, assistant social auprès de l’Office des curatelles et tutelles professionnelles, - Service de protection de la jeunesse, ORPM du Centre, et communiqué à : - Justice de paix du district de l’Ouest lausannois,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