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LO16.036472 vom 11. Oktober 2016</w:t>
      </w:r>
    </w:p>
    <w:p>
      <w:r>
        <w:t>VD Tribunal cantonal, 2016-10-11, FR</w:t>
      </w:r>
    </w:p>
    <w:p>
      <w:r>
        <w:rPr>
          <w:b/>
        </w:rPr>
        <w:t xml:space="preserve">Quelle: </w:t>
      </w:r>
      <w:r>
        <w:t>https://mcp.opencaselaw.ch/entscheid/vd_gerichte_LO16.036472</w:t>
      </w:r>
    </w:p>
    <w:p>
      <w:r>
        <w:t>FR: VD_GERICHTE LO16.036472 du 11 octobre 2016</w:t>
      </w:r>
    </w:p>
    <w:p>
      <w:r>
        <w:t>IT: VD_GERICHTE LO16.036472 del 11 ottobre 2016</w:t>
      </w:r>
    </w:p>
    <w:p>
      <w:pPr>
        <w:pStyle w:val="Heading2"/>
      </w:pPr>
      <w:r>
        <w:t>Erwägungen</w:t>
      </w:r>
    </w:p>
    <w:p>
      <w:r>
        <w:rPr>
          <w:b/>
        </w:rPr>
        <w:t>E. 1.1</w:t>
      </w:r>
    </w:p>
    <w:p>
      <w:r>
        <w:t>Le recours est dirigé contre une décision du juge de paix confirmant provisoirement le retrait du droit à une mère de déterminer le lieu de résidence de son fils mineur, en application des art. 310 et 445 al. 1er CC (Code civil suisse du 10 décembre 1907 ; RS 210).</w:t>
      </w:r>
    </w:p>
    <w:p>
      <w:r>
        <w:rPr>
          <w:b/>
        </w:rPr>
        <w:t>E. 1.2</w:t>
      </w:r>
    </w:p>
    <w:p>
      <w:r>
        <w:t>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w:t>
      </w:r>
    </w:p>
    <w:p>
      <w:r>
        <w:t>- 5 - Kommentar, Zivilgesetzbuch I, Art. 1-456 CC,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applicable par renvoi de l’art. 314 al. 1 CC, prévoit que l'autorité de protection établit les faits d'office. Compte tenu du renvoi de l’art. 450f CC aux règles du CPC (Code de procédure civile du 19 décembre 2008, RS 272), l’art. 229 al. 3 CPC est applicable devant cette autorité, de sorte que les faits et moyens de preuve nouveaux sont admis jusqu’aux délibérations. Cela vaut aussi en deuxième instance (Steck, op. cit., n. 7 ad art. 450a CC, p. 2626, et les auteurs cités). En effet, en matière de protection de l'adulte et de l'enfant, la maxime inquisitoire illimitée est applicable, de sorte que les restrictions posées par l'art. 317 CPC pour l'introduction de faits ou moyens de preuve nouveaux sont inapplicables (JdT 2011 III 43 ; CCUR 30 juin 2014/147).</w:t>
      </w:r>
    </w:p>
    <w:p>
      <w:r>
        <w:rPr>
          <w:b/>
        </w:rPr>
        <w:t>E. 1.3</w:t>
      </w:r>
    </w:p>
    <w:p>
      <w:r>
        <w:t>En l’espèce, interjeté en temps utile par la mère du mineur concerné, partie à la procédure, le présent recours est recevable. Le recours étant manifestement mal fondé au vu des considérations qui seront développées ci-après, il a été renoncé à consulter l'autorité de protection (cf. art. 450d al. 1 CC).</w:t>
      </w:r>
    </w:p>
    <w:p>
      <w:r>
        <w:rPr>
          <w:b/>
        </w:rPr>
        <w:t>E. 2</w:t>
      </w:r>
    </w:p>
    <w:p>
      <w:r>
        <w:t>La recourante demande à conserver le droit de déterminer le lieu de résidence de son fils.</w:t>
      </w:r>
    </w:p>
    <w:p>
      <w:r>
        <w:t>- 6 -</w:t>
      </w:r>
    </w:p>
    <w:p>
      <w:r>
        <w:rPr>
          <w:b/>
        </w:rPr>
        <w:t>E. 2.1</w:t>
      </w:r>
    </w:p>
    <w:p>
      <w:r>
        <w:t>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 janvier 2013 conservent toute leur pertinence quel que er soit le droit applicable. Par ailleurs, les nouvelles dispositions relatives à l’autorité parentale conjointe sont entrées en vigueur le 1 juillet 2014. Selon la er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consid. 4 ; Stettler, Le droit suisse de la filiation, Traité de droit privé suisse, III, tome II, 1, p. 247 ; Meier/Stettler, Droit de la filiation, 5 éd., e 2014, n. 462, pp.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(art. 301a al. 1 CC) et la notion de la garde a été maintenue dans le sens d’une garde de fait (Meier/Stettler, op. cit., nn. 21 et 465 ss., pp. 14 et 310 ss.). Ces modifications sont d’ordre purement terminologique et n’entraînent aucune modification. La doctrine et la jurisprudence antérieures demeurent en conséquence pertinentes (CCUR 11 août 2014/177). Quoi qu'il en soit, l'établissement et les effets de la filiation sont soumis à la présente loi dès son entrée en vigueur (art. 12 al. 1 Tit. Fin. CC) et les décisions antérieures aux nouvelles dispositions demeurent en force après l'entrée en vigueur du nouveau droit (art. 12 al. 3 Tit. Fin. CC).</w:t>
      </w:r>
    </w:p>
    <w:p>
      <w:r>
        <w:t>- 7 -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 4, publié in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w:t>
      </w:r>
    </w:p>
    <w:p>
      <w:r>
        <w:t>- 8 -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 185 ss.). Le respect du principe de proportionnalité suppose que la mesure soit conforme au principe de l'adéquation et, partant, propre à atteindre le but recherché (Moor/Flückiger/Martenet, Droit administratif, vol. I, 3 éd., Berne 2012, n. 5.2.1.3, p. 814 ; Knapp, e Précis de droit administratif, 4 éd., Bâle 1991, n. 538, p. 114). Une mesure e telle que le retrait du droit de déterminer le lieu de résidence n'est ainsi légitime, comme mentionné précédemment, que s'il n'est pas possible de prévenir le danger par les mesures moins énergiques prévues aux art. 307 et 308 CC (Hegnauer, op. cit., n. 27.36, p. 194).</w:t>
      </w:r>
    </w:p>
    <w:p>
      <w:r>
        <w:rPr>
          <w:b/>
        </w:rPr>
        <w:t>E. 2.2</w:t>
      </w:r>
    </w:p>
    <w:p>
      <w:r>
        <w:t>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le retrait provisoire du droit de déterminer le lieu de résidence avec placement de l’enfant (Droit de la protection de l’adulte,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op. cit., n. 1.186, p. 75, avec référence à l’arrêt TF 5A_520/2008 du 1er septembre 2008 consid. 3 ; cf. art. 261 al. 1 CPC).</w:t>
      </w:r>
    </w:p>
    <w:p>
      <w:r>
        <w:rPr>
          <w:b/>
        </w:rPr>
        <w:t>E. 2.3</w:t>
      </w:r>
    </w:p>
    <w:p>
      <w:r>
        <w:t>- 9 -</w:t>
      </w:r>
    </w:p>
    <w:p>
      <w:r>
        <w:rPr>
          <w:b/>
        </w:rPr>
        <w:t>E. 2.3.1</w:t>
      </w:r>
    </w:p>
    <w:p>
      <w:r>
        <w:t>En l'espèce, la recourante a fait l'objet d'un premier signalement au moment de la naissance de son fils. En raison d'une première décompensation psychique au mois de juillet 2015, elle a résidé au Foyer féminin puis a rejoint l'AEME de Montelly, avec P.________, au mois de juin 2016. A la suite d'une nouvelle décompensation, elle a été hospitalisée d'urgence, dans la nuit du 16 au 17 août 2016, et se trouvait toujours à l'Hôpital de Cery à la date de son recours. P.________ est un très jeune enfant. Il ne dispose d'aucun entourage familial. Afin de le protéger, le juge de paix a attribué provisionnellement au SPJ le droit de déterminer le lieu de résidence de l'enfant, en attendant d'être renseigné sur les perspectives de sortie de sa mère. La recourante critique la décision du juge de paix, faisant valoir qu'elle sortira probablement bientôt de l'hôpital et qu'elle pourrait alors se mettre à la recherche d'un appartement et y accueillir son fils.</w:t>
      </w:r>
    </w:p>
    <w:p>
      <w:r>
        <w:rPr>
          <w:b/>
        </w:rPr>
        <w:t>E. 2.3.2</w:t>
      </w:r>
    </w:p>
    <w:p>
      <w:r>
        <w:t>A la date du présent arrêt, aucun élément ou communication faite en ce sens n'indique que la recourante aurait pu quitter l'hôpital. D'après les diverses intervenantes entendues par l'autorité de protection, la sortie de l'intéressée n'était d'ailleurs pas concrètement envisagée. La recourante, qui, par ailleurs, est sans logement, n'apparaît donc pas encore en mesure d'exercer la garde de fait de son fils. En outre, si la recourante s'oppose au placement de P.________ et revendique de pouvoir s'en occuper, c'est surtout parce que l'enfant doit être placé au Foyer de Lully et que ce lieu ne lui convient pas. Or, le simple fait pour la recourante de s'opposer au placement de son fils dans ce foyer alors qu'il est impératif que P.________ soit avant tout pris en charge - le besoin de protection de cet enfant étant patent, vu son très jeune âge - démontre qu'elle pas encore en mesure de déterminer le lieu de résidence de son fils conformément à ses intérêts.</w:t>
      </w:r>
    </w:p>
    <w:p>
      <w:r>
        <w:t>- 10 -</w:t>
      </w:r>
    </w:p>
    <w:p>
      <w:r>
        <w:rPr>
          <w:b/>
        </w:rPr>
        <w:t>E. 3</w:t>
      </w:r>
    </w:p>
    <w:p>
      <w:r>
        <w:t>En conclusion, le recours doit être rejeté et l'ordonnance confirmée. Le présent arrêt peut être rendu sans frais (art. 74a al. 4 TFJC [Tarif du 28 septembre 2010 des frais judiciaires civils, RSV 270.11.5]). Par ces motifs, la Chambre des curatelles du Tribunal cantonal, statuant à huis clos, prononce : I. Le recours est rejeté. II. La décision est confirmée. III. L'arrêt est rendu sans frais. IV. L'arrêt motivé est exécutoire. La présidente : La greffière : Du 17 octobre 2016 Le dispositif de l'arrêt qui précède est communiqué par écrit aux intéressés. La greffière : Du</w:t>
      </w:r>
    </w:p>
    <w:p>
      <w:r>
        <w:t>- 11 - L'arrêt qui précède, dont la rédaction a été approuvée à huis clos, est notifié à : - I.________, - V.________, Office des curatelles et tutelles professionnelles, - X.________,Service de protection de la jeunesse, ORPM du Centre, et communiqué à : - Juge de paix du district de Lausanne,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