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LO14.048397 vom 11. Januar 2016</w:t>
      </w:r>
    </w:p>
    <w:p>
      <w:r>
        <w:t>VD Tribunal cantonal, 2016-01-11, FR</w:t>
      </w:r>
    </w:p>
    <w:p>
      <w:r>
        <w:rPr>
          <w:b/>
        </w:rPr>
        <w:t xml:space="preserve">Quelle: </w:t>
      </w:r>
      <w:r>
        <w:t>https://mcp.opencaselaw.ch/entscheid/vd_gerichte_LO14.048397</w:t>
      </w:r>
    </w:p>
    <w:p>
      <w:r>
        <w:t>FR: VD_GERICHTE LO14.048397 du 11 janvier 2016</w:t>
      </w:r>
    </w:p>
    <w:p>
      <w:r>
        <w:t>IT: VD_GERICHTE LO14.048397 del 11 gennaio 2016</w:t>
      </w:r>
    </w:p>
    <w:p>
      <w:pPr>
        <w:pStyle w:val="Heading2"/>
      </w:pPr>
      <w:r>
        <w:t>Volltext</w:t>
      </w:r>
    </w:p>
    <w:p>
      <w:r>
        <w:t>TRIBUNAL CANTONAL LN14.048397-160323-160025 6 CHAMBRE DE S CURATELLE S ___________________________________ Arrêt du 11 janvier 2016 ____________________ Composition : Mme KÜHNLEIN, présidente M. Battistolo et Mme Bendani, juges Greffier : Mme Schwab Eggs ***** Art. 274a al. 1, 310, 445 al. 1, 450 al. 2 CC La Chambre des curatelles du Tribunal cantonal prend séance pour statuer sur les recours interjetés par C.P.________, à Chavannes-près- Renens, et D.P.________, à Le Brassus, contre l’ordonnance de mesures provisionnelles rendue le 22 décembre par le Juge de paix du district du Jura-Nord vaudois dans la cause concernant l’enfant A.P.________, à [...]. Délibérant à huis clos, la cour voit : 251</w:t>
      </w:r>
    </w:p>
    <w:p>
      <w:r>
        <w:t>- 2 - En fait : A. Par ordonnance de mesures provisionnelles du 22 décembre 2015, envoyée pour notification aux parties le 23 décembre 2015, le Juge de paix du district du Jura-Nord vaudois (ci-après : juge de paix) a confirmé le retrait provisoire du droit de déterminer le lieu de résidence de B.P.________ sur son fils A.P.________, né le [...] 2010 (I), maintenu le Service de la protection de la jeunesse (ci-après : SPJ) en qualité de détenteur du mandat provisoire de placement et de garde de A.P.________ (II), dit que le SPJ exercera les tâches suivantes : placer le mineur dans un lieu propice à ses intérêts ; veiller à ce que sa garde soit assumée convenablement dans le cadre de son placement ; veiller au rétablissement d’un lien progressif et durable avec sa mère et, si cela est opportun selon les circonstances, son père (III), invité le SPJ à remettre à l’autorité de protection un rapport sur son activité et sur l’évolution de la situation de l’enfant dans un délai de quatre mois (IV), invité le SPJ à évaluer les conditions d’accueil de la tante de l’enfant, C.P.________, lorsqu’elle aura retrouvé un appartement indépendant (V), rejeté les conclusions de B.P.________ et C.P.________ concernant leur droit de visite (VI), constaté que la mesure de curatelle d’assistance éducative est caduque et relevé la curatrice T.________ de son mandat provisionnel (VII), dit que les frais de la procédure provisionnelle suivent le sort de la cause (VIII) et déclaré l’ordonnance exécutoire, nonobstant recours (IX). En droit, le premier juge a considéré que le développement de l’enfant A.P.________ était mis en danger par le comportement de sa mère, qui était fréquemment en état d’ébriété, le plaçait auprès de tiers et se montrait négligente quant à certains de ses besoins et que cette situation justifiait un retrait provisoire du droit de déterminer le lieu de résidence de l’enfant. Le premier juge a rejeté la requête de la mère et de la tante de l’enfant en élargissement du droit de visite, le placement de l’enfant en foyer étant très récent et le passage d’une nuit hors du foyer étant prématuré avant l’évaluation du cercle familial. Le premier juge n’a pas d’emblée écarté la possibilité que l’enfant soit placé auprès de sa tante,</w:t>
      </w:r>
    </w:p>
    <w:p>
      <w:r>
        <w:t>- 3 - les conditions d’accueil devant être évaluées par le SPJ une fois que celle- ci aurait trouvé un logement indépendant de celui de sa propre mère. B. Par acte motivé remis à la poste le 4 janvier 2016, C.P.________ a recouru contre cette ordonnance. Elle a requis de pouvoir accueillir son neveu, A.P.________, dans son lieu de vie actuel, soit chez sa mère et grand-mère de l’enfant. La recourante a également conclu à la fixation d’un droit de visite, incluant notamment les week-ends. Par acte motivé remis à la poste le 4 janvier 2016, D.P.________ a également recouru contre cette ordonnance. Il semble demander que le placement de son petit-fils A.P.________ auprès du SPJ soit annulé et que celui-ci soit placé chez lui. D.P.________ a encore adressé deux courriers datés du 10 janvier 2016 dans le cadre de son recours. C. La cour retient les faits suivants : Né le [...] 2010, l’enfant A.P.________ est le fils hors mariage de B.P.________ et de [...], lequel l'a reconnu le [...] 2010. A.P.________ n’a pas eu de contact récent avec son père. Le 27 novembre 2014, [...] et [...], respectivement cheffe de l’ORPM Centre et assistant social pour la protection des mineurs auprès du SPJ, ont adressé un rapport de renseignement à l’autorité de protection et préconisé de retirer à B.P.________ le droit de déterminer le lieu de résidence de A.P.________ et de confier le mandat de placement et de garde au SPJ. Selon ce rapport, B.P.________ rencontrait des difficultés à s’occuper seule de A.P.________, la situation étant aggravée par les conflits qui l’opposaient à sa mère [...] – et grand-mère maternelle de A.P.________ – avec laquelle ils faisaient ménage commun ; B.P.________ était sur le point de déménager dans un logement indépendant avec A.P.________. Il résulte également ce qui suit du rapport :</w:t>
      </w:r>
    </w:p>
    <w:p>
      <w:r>
        <w:t>- 4 - « Dans les faits, nous devons constater que A.P.________, enfant âgé de 4 ans et 10 mois, est confronté à des violences verbales et parfois physiques dans le cadre familial, ce qui constitue des maltraitances psychologiques importantes susceptibles de mettre en danger son développement. Nous constatons encore que A.P.________ subit des carences et des négligences dans le cadre familial du fait du faible investissement maternel dont fait aujourd’hui preuve sa mère B.P.________. Cette dernière rencontre manifestement des difficultés graves dans son adaptation aux exigences de la vie quotidienne, fait face à une consommation problématique d’alcool et d’autres substances telles que le cannabis. Aujourd’hui, Madame B.P.________ ne nous a donné aucun élément qui peut nous rassurer quant à sa capacité immédiate de prendre en charge son enfant A.P.________ dans le quotidien et la continuité, comme son prochain déménagement l’exigerait d’elle. » Le même jour, le SPJ a placé d’urgence A.P.________ au foyer de [...]. Le 3 décembre 2014, le juge de paix a rendu une ordonnance de mesures superprovisionnelles donnant suite aux conclusions du SPJ. Par ordonnance de mesures provisionnelles du 6 janvier 2015, le juge de paix a notamment restitué à B.P.________ le droit de déterminer le lieu de résidence de A.P.________ (II), institué à titre provisoire au bénéfice de l’enfant une mesure de curatelle éducative au sens de l’art. 308 al. 1 CC et désigné T.________ du SPJ comme curatrice provisoire (III et IV). Le 8 décembre 2015, T.________ a adressé un rapport au juge de paix et requis le placement immédiat de A.P.________ avec retrait provisoire du droit de déterminer le lieu de résidence à sa mère. Il ressort notamment de ce rapport que B.P.________ avait oublié la plupart des rendez-vous fixés avec le SPJ, les assistants sociaux la trouvant à plusieurs reprises fortement alcoolisée, que la grand-mère maternelle avait fait part de ses craintes pour le bon développement de A.P.________ et des difficultés de sa fille à gérer les besoins de son enfant au quotidien et que l’enseignante avait également indiqué que A.P.________ présentait des difficultés d’adaptation, manquait de repères, n’était pas stimulé, n’avait pas de copains, était très fatigué, demandait beaucoup d’attention et ne suivait pas le programme de 2P. Il résulte également ce qui suit de ce rapport :</w:t>
      </w:r>
    </w:p>
    <w:p>
      <w:r>
        <w:t>- 5 - « Au vu de ce qui précède, nous constatons que le déménagement de Mme B.P.________ et l’éloignement de sa propre mère ne lui a pas permis d’évoluer dans la prise en charge de son fils et d’assurer ses besoins de base. Nous constatons que Mme B.P.________ n’a pas résolu ses problèmes d’addiction à l’alcool et au cannabis. Mme B.P.________ passe tous les week-ends chez sa mère à Lausanne, plaçant son fils à gauche et à droite afin d’être libre. A.P.________ est un enfant confronté à des négligences et des carences qui ont des incidences sur son développement. Mme B.P.________ ne peut s’occuper correctement de son fils en étant sous l’emprise de produits. Nous observons que la prise en charge de son fils et son bien-être ne sont pas sa priorité. C’est pourquoi, nous proposons un placement de A.P.________ dans les plus brefs délais. Une place à [...] est libre pour une durée de trois mois. Ce placement permettra d’évaluer les compétences parentales de la mère et de réfléchir à un éventuel placement à long terme, le temps que Mme B.P.________ se reprenne en mains et montre un réel investissement et la capacité à assumer son fils au quotidien. » Par ordonnance de mesures superprovisionnelles du 9 décembre 2015, le juge de paix a notamment retiré provisoirement à B.P.________ son droit de déterminer le lieu de résidence de son fils A.P.________ (I), confié un mandat provisoire de placement et de garde au SPJ avec charge de placer l’enfant au mieux de ses intérêts (II) et invité les forces de police à prêter main forte au SPJ dans le cadre de l’exécution de l’ordonnance (III). Par courrier du 10 décembre 2015, D.P.________, grand-père maternel de A.P.________, a exposé à l’autorité de protection qu’il était disposé à accueillir son petit-fils chez lui. Par lettre du 16 décembre 2015, C.P.________, tante maternelle de A.P.________, a indiqué à l’autorité de protection qu’elle souhaitait accueillir celui-ci chez elle. Elle a expliqué qu’à la suite de sa séparation d’avec le père de sa propre fille, elle vivait chez sa mère, où A.P.________ pourrait partager une chambre avec sa fille. Le 22 décembre 2015, le juge de paix a procédé à l’audition de B.P.________, C.P.________ et T.________. La première, mère de l’enfant concerné, a déploré la coupure des contacts avec son fils, mais n’a pas pris position sur le principe du retrait du droit de garde ; elle a nié consommer de l’alcool ou des stupéfiants. C.P.________ a déclaré qu’elle souhaitait accueillir A.P.________ chez elle et a expliqué qu’elle logeait</w:t>
      </w:r>
    </w:p>
    <w:p>
      <w:r>
        <w:t>- 6 - actuellement chez sa propre mère, mais qu’elle cherchait un appartement séparé. T.________ a confirmé les inquiétudes formulées dans son rapport ; elle a indiqué que la mère de A.P.________ ne s’était pas présentée à deux occasions pour exercer son droit de visite, que ce dernier allait bien et qu’il s’adaptait à sa nouvelle situation. En d roit : 1. Les recours sont dirigés contre une ordonnance de mesures provisionnelles du juge de paix confirmant, en application de l’art. 310 CC (Code civil suisse du 10 décembre 1907 ; RS 210), le retrait provisoire du droit de déterminer le lieu de résidence de l’enfant A.P.________.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 recours doit être dûment motivé et interjeté par écrit (art. 450 al. 3 CC), les exigences de motivation ne devant cependant pas être trop élevées (Steck, Basler Kommentar, 5e éd., 2014, n. 42 ad art. 450 CC, p. 2624). Les personnes parties à la procédure, les proches de la personne concernée et les personnes qui ont un intérêt juridique à l'annulation ou à la modification de la décision attaquée ont qualité pour recourir (art. 450 al. 2 CC). Par proche au sens de l'art. 450 al. 2 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(Steck, in Commentaire du droit de la famille [CommFam], Protection de l’adulte, Berne 2013, n. 24 ad art. 450 CC, p. 916 s.)</w:t>
      </w:r>
    </w:p>
    <w:p>
      <w:r>
        <w:t>- 7 -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5e éd., 2014, nn. 6 ss ad art. 450d CC, pp. 2640). L’art. 446 al. 1 CC, applicable par renvoi de l’art. 314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En l’espèce, les recours ont été interjetés en temps utile par la tante et le grand-père maternels de l’enfant concerné. Les recourants peuvent être considérés comme des proches de l’enfant ; en outre, ils font valoir l’intérêt de ce dernier. Les deux recours sont par conséquent recevables. On relève que le recours de D.P.________ comporte des termes à la limite de l’admissible. Même si on comprend sa peine et sa préoccupation, il convient d’attirer son attention sur le fait que des actes inconvenants peuvent, à certaines conditions, ne pas être pris en considération. Les recours étant manifestement mal fondés, au vu des considérations qui seront développées ci-après, la Chambre des curatelles a renoncé à consulter l'autorité de protection de l'adulte.</w:t>
      </w:r>
    </w:p>
    <w:p>
      <w:r>
        <w:t>- 8 - 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 Les recourants requièrent que l’enfant soit placé chez eux plutôt que dans un foyer. a/aa)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w:t>
      </w:r>
    </w:p>
    <w:p>
      <w:r>
        <w:t>- 9 - harmonieusement sur le plan physique, affectif et intellectuel (ATF 128 III 9 consid. 4 ; Stettler, Le droit suisse de la filiation, Traité de droit privé suisse, III, tome II, 1, p. 247 ; Meier/Stettler, Droit de la filiation, 5e éd., 2014, n. 462, pp. 308 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(Meier/Stettler, op. cit., nn. 21 et 465 s., pp. 14 et 310 s.). Ces modifications sont d’ordre purement terminologique et n’entraînent aucune modification, sur le fond, de l’art. 310 CC notamment, hormis son titre marginal qui mentionne désormais le retrait du droit de déterminer le lieu de résidence (TF 5A_678/2015 du 2 décembre 2015 consid. 6.1). La doctrine et la jurisprudence antérieures demeurent en conséquence pertinentes (CCUR 11 août 2014/177). ab)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(TF 5A_678/2015 précité consid. 6.1 et les références citées). La cause du retrait doit résider dans le fait que le développement corporel, intellectuel ou moral de l'enfant n'est pas assez protégé ou encouragé dans le milieu de ses père et mère ou dans le milieu où ceux-ci l’ont placé (TF 5A_621/2014 du 11 novembre 2014 consid. 8.1 et les références citées). L’énumération des situations autorisant le retrait, provisoire ou non, du droit de déterminer le lieu de résidence de l’enfant n’est pas exhaustive (Meier/Stettler, Droit de la filiation, 5e éd., 2014,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w:t>
      </w:r>
    </w:p>
    <w:p>
      <w:r>
        <w:t>- 10 -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5A_678/2015 précité consid. 6.1 et les références citées ;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 185 s.).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w:t>
      </w:r>
    </w:p>
    <w:p>
      <w:r>
        <w:t>- 11 - possible de prévenir le danger par les mesures moins énergiques prévues aux art. 307 et 308 CC (Hegnauer, op. cit., n. 27.36, p. 194). Le droit vaudois prévoit que le SPJ – qui est l’autorité compétente en matière de prévention des facteurs de mise en danger, de protection des mineurs et de réhabilitation des compétences éducatives des parents, dans le domaine socio-éducatif (art. 6 al. 1 LProMin [loi sur la protection des mineurs du 4 mai 2004 ; RSV 850.41]) – peut être chargé par l’autorité judiciaire ou l’autorité de protection de l’enfant d’un mandat de garde. Ce service pourvoit alors au placement du mineur dans une famille ou une institution, au mieux de ses intérêts (art. 23 al. 1 LProMin ; art. 27 al. 1 RLProMin [règlement du 2 février 2005 d’application de la loi sur la protection des mineurs du 4 mai 2004 ; RSV 850.41.1]). b)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 c) En l’espèce, ni la mère, ni les recourants ne contestent le retrait provisoire du droit de déterminer le lieu de résidence de A.P.________ prononcé à l’encontre de B.P.________. Ceux-ci ne soutiennent pas que la mère serait adéquate ou en état de s’occuper de son fils. Les recourants reprochent plutôt au premier juge d’avoir ordonné le placement de A.P.________ dans un foyer et non auprès d’un membre de sa famille, en l’occurrence sa tante ou son grand-père.</w:t>
      </w:r>
    </w:p>
    <w:p>
      <w:r>
        <w:t>- 12 - En l’état, il n’est pas établi que les recourants seraient véritablement en mesure d’accueillir l’enfant dans des conditions adéquates. L’ordonnance querellée a d’ailleurs donné pour tâche au SPJ d’évaluer les conditions d’accueil de l’enfant auprès de la recourante, étant précisé que celle-ci devait au préalable trouver un logement indépendant. On relève à cet égard que la recourante vit actuellement chez sa propre mère – et grand-mère de l’enfant concerné. Juste avant le premier placement de l’enfant en foyer en novembre 2014, le SPJ avait précisément relevé les problèmes d’alcool et les conflits importants existants entre la mère de l’enfant et cette même grand-mère. Il n’est dès lors pas envisageable que l’enfant retourne vivre dans ce logement, quand bien même il le serait sous la responsabilité de sa tante. Les capacités d’accueil du recourant n’ont pas été examinées ; on ne saurait donc en l’état lui confier la garde de son petit-fils. La solution retenue par le premier juge qui consiste à laisser le SPJ décider du placement de l’enfant dans un lieu propice à ses intérêts est la plus souple et la plus adéquate. Elle permet en effet au SPJ d’adapter plus rapidement le lieu de séjour de l’enfant en fonction de son intérêt et de fixer les relations personnelles avec son entourage. Au demeurant, il s’agit en l’état de mesures provisionnelles et l’enquête en cours permettra de déterminer la solution la plus conforme aux intérêts de l’enfant pour l’avenir. Elle est en outre conforme aux dispositions légales cantonales prévoyant la possibilité d’attribuer le mandat de garde au SPJ. Le premier juge n’a d’ailleurs pas d’emblée écarté la possibilité que l’enfant soit placé auprès de sa tante, une fois qu’elle aurait trouvé un logement indépendant. Le grief des recourants concernant le droit de garde doit être rejeté. 3. La recourante C.P.________ demande également la fixation d’un droit de visite en sa faveur.</w:t>
      </w:r>
    </w:p>
    <w:p>
      <w:r>
        <w:t>- 13 - a) Selon l’art. 274a CC, dans des circonstances exceptionnelles, le droit d’entretenir des relations personnelles peut aussi être accordé à des tiers, en particulier à des membres de la parenté, à condition que ce soit dans l’intérêt de l’enfant (al. 1) ;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 le beau-parent peut donc se prévaloir de cette disposition pour obtenir le droit d’entretenir des relations personnelles avec l’enfant de son conjoint dont il est séparé ou divorcé (TF 5A_831/2008 du 16 février 2009 consid. 3.2, publié in FamPra.ch 2009 p. 505). L’art. 274a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 1 ss, spéc. p. 54). La mort d’un parent constitue une circonstance exceptionnelle et justifie un droit de visite de membres de la famille du parent décédé, afin de maintenir les relations entre l’enfant et la parenté du défunt, dont les grands-parents font partie ; c’est également le cas lorsque le parent fait obstacle aux relations personnelles (TF 5A_357/2010 du 10 juin 2010 consid. 5.2). La seconde condition posée par l’art. 274a al. 1 CC est l’intérêt de l’enfant. Seul cet intérêt est déterminant, et non celui de la personne avec laquelle celui-ci peut ou doit entretenir des relations personnelles (TF 5C_146/2003 du 23 septembre 2003 consid. 3.1 et les références citées, non publié in ATF 129 III 689 ; P.46/1983 du 11 mars 1983 publié in SJ 1983 p. 634). II incombe à l’autorité saisie de la requête d’apprécier le type de relations qui s’est établi entre l’enfant et le tiers, et en particulier si une "relation particulière" s’est instaurée entre eux. L’autorité devra en outre faire preuve d’une circonspection particulière lorsque le droit</w:t>
      </w:r>
    </w:p>
    <w:p>
      <w:r>
        <w:t>- 14 - revendiqué par des tiers viendrait s’ajouter à l’exercice de relations personnelles par les parents de l’enfant (TF 5A_831/2008 précité consid. 3.2 et les références citées). Selon le système instauré par l'art. 27 al. 2 RLProMin, lorsque le SPJ est titulaire du droit de garde, il peut définir les relations personnelles qu'entretient le mineur avec ses parents ou des tiers, sous réserve d'une décision contraire d'une autorité judiciaire ou tutélaire. b) En l’espèce, on ne se trouve pas dans une situation exceptionnelle telle que décrite dans la jurisprudence. La mère de l’enfant concerné n’est en rien empêchée d’exercer son droit de visite, respectivement de le faire valoir ; il n’est pas non plus établi qu’elle s’opposerait à ce que les autres membres de la famille voient son fils. Enfin, on relève que l’exercice du droit aux relations personnelles revendiqué par la tante devrait s’ajouter à celui de la mère, venant ainsi compliquer la situation. Enfin, rien n’empêche la tante de s’adresser directement au SPJ – gardien de l’enfant – afin de voir son neveu. Le SPJ pourra en effet lui accorder une telle possibilité si l’intérêt de l’enfant le commande. Pour ces motifs, le grief de la recourante concernant le droit de visite doit être également rejeté. 4. a) Les recours déposés par C.P.________ et D.P.________ doivent être rejetés et la décision attaquée confirmée. Le nom de famille de la recourante C.P.________ ne figure pas au chiffre II du dispositif envoyé pour notification aux parties le 13 janvier 2016 ; cela résulte d’une erreur de plume qu’il convient de rectifier d’office sur la base de l’art. 334 al. 1 et 2 CPC, applicable par renvoi de l’art. 450f CC, sans inviter les parties à se déterminer.</w:t>
      </w:r>
    </w:p>
    <w:p>
      <w:r>
        <w:t>- 15 - b) Le présent arrêt peut être rendu sans frais (art. 74a al. 4 TFJC [tarif du 28 septembre 2010 des frais judiciaires civils ; RSV 270.11.5]). Par ces motifs, la Chambre des curatelles du Tribunal cantonal, statuant à huis clos, prononce : I. Le recours de D.P.________ est rejeté. II. Le recours de C.P.________ est rejeté. III. La décision est confirmée. IV. L'arrêt est rendu sans frais judiciaires de deuxième instance. V. L’arrêt motivé est exécutoire. La présidente : La greffière : Du Le dispositif de l'arrêt qui précède est communiqué par écrit aux intéressés. La greffière :</w:t>
      </w:r>
    </w:p>
    <w:p>
      <w:r>
        <w:t>- 16 - Du L'arrêt qui précède, dont la rédaction a été approuvée à huis clos, est notifié à : - Mme B.P.________, personnellement, - Mme C.P.________, personnellement, - M. D.P.________, personnellement, - Mme T.________, assistante sociale auprès du Service de protection de la jeunesse, ORPM du Nord et communiqué à : - [...], Juge de paix du district du Jura-Nord vaudois,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