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LO14.004791 vom 8. Mai 2014</w:t>
      </w:r>
    </w:p>
    <w:p>
      <w:r>
        <w:t>VD Tribunal cantonal, 2014-05-08, FR</w:t>
      </w:r>
    </w:p>
    <w:p>
      <w:r>
        <w:rPr>
          <w:b/>
        </w:rPr>
        <w:t xml:space="preserve">Quelle: </w:t>
      </w:r>
      <w:r>
        <w:t>https://mcp.opencaselaw.ch/entscheid/vd_gerichte_LO14.004791</w:t>
      </w:r>
    </w:p>
    <w:p>
      <w:r>
        <w:t>FR: VD_GERICHTE LO14.004791 du 8 mai 2014</w:t>
      </w:r>
    </w:p>
    <w:p>
      <w:r>
        <w:t>IT: VD_GERICHTE LO14.004791 del 8 maggio 2014</w:t>
      </w:r>
    </w:p>
    <w:p>
      <w:pPr>
        <w:pStyle w:val="Heading2"/>
      </w:pPr>
      <w:r>
        <w:t>Erwägungen</w:t>
      </w:r>
    </w:p>
    <w:p>
      <w:r>
        <w:rPr>
          <w:b/>
        </w:rPr>
        <w:t>E. 1</w:t>
      </w:r>
    </w:p>
    <w:p>
      <w:r>
        <w:t>Le recours est dirigé contre une ordonnance de mesures provisionnelles du juge de paix maintenant le retrait provisoire du droit de garde de parents sur leurs enfants mineurs (art. 310 CC). a) Le recours de l'art. 450 CC est ouvert à la Chambre des curatelles (art. 8 LVPAE [Loi du 29 mai 2012 d'application du droit fédéral de la protection de l'adulte et de l'enfant, RSV 211.255] et 76 al. 2 LOJV [Loi d'organisation judiciaire du 12 décembre 1979, RSV 173.01]) contre</w:t>
      </w:r>
    </w:p>
    <w:p>
      <w:r>
        <w:t>- 7 -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a) Le recourant ne remet pas en cause le retrait provisoire de son droit de garde mais s'en prend à la durée de la mesure ordonnée par le premier juge. Selon lui, un délai de cinq mois avant un réexamen de la situation est excessif et disproportionné. Il expose s'être rendu à l'établissement [...], à [...], pour y être suivi médicalement pour un temps indéterminé, mais qui ne devrait pas dépasser un mois. Le délai de cinq mois imparti au SPJ pour remettre un rapport sur son activité et sur l'évolution de la situation des enfants impliquerait donc que la question de la restitution de son droit de garde ne pourrait pas être réexaminée à temps. Il conclut en conséquence à ce que ce délai soit réduit à deux mois. En outre, il soutient que ses parents sont parfaitement en mesure d'accueillir les enfants sur la durée, dans un contexte beaucoup plus chaleureux et réconfortant que celui dans lequel ils vivent actuellement et que cette solution permettrait non seulement de préserver au mieux les intérêts des enfants mais présenterait également des avantages pratiques, notamment dans le cadre de l'exercice de son droit de visite. b)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antérieures au 1er janvier 2013 conservent toute leur pertinence.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w:t>
      </w:r>
    </w:p>
    <w:p>
      <w:r>
        <w:t>- 9 - la filiation, Traité de droit privé suisse, III, tome II, 1, p. 247; Meier/Stettler, Droit de la filiation, 5e éd., 2014, n. 462, pp. 308 et 309).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garde passe des père et mère à l’autorité de protection,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garde n’est pas exhaustive (Meier/Stettler, op. cit., n. 1297, pp. 851 ss; Hegnauer, Droit suisse de la filiation et de la famille, 4e éd., Berne 1998, adaptation française par Meier, n. 27.36, p. 194). Les dissensions entre parents peuvent également représenter un danger pour l'enfant (Hegnauer, op. cit., n. 27.14, p. 186) et justifier le retrait du droit de garde.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in FamPra.ch 2010 p. 173). L'intérêt de l'enfant est la justification fondamentale de toutes les mesures des art. 307 ss CC, notamment de l’art. 310 CC. Les mesures de protection de l'enfant sont en outre régies par les principes de proportionnalité et de subsidiarité (Message du Conseil fédéral concernant la modification du Code civil suisse, FF 1974 II p. 84), ce qui implique qu'elles doivent correspondre au degré du danger que court l'enfant en restreignant l'autorité parentale aussi peu que possible mais autant que</w:t>
      </w:r>
    </w:p>
    <w:p>
      <w:r>
        <w:t>- 10 -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garde n’est ainsi légitime que s’il n’est pas possible de prévenir le danger par les mesures moins énergiques prévues aux art. 307 et 308 CC (Hegnauer, op. cit., n. 2736, p. 194). b) L’art. 445 al. 1 CC - applicable par analogie en vertu de l’art. 314 al. 1 CC - dispose que l’autorité de protection prend, d’office ou à la demande d’une personne partie à la procédure, toutes les mesures provisionnelles nécessaires pendant la durée de la procédure; elle peut notamment ordonner une mesure de protection à titre provisoire, en particulier le retrait provisoire de la garde avec placement de l’enfant (Droit de la protection de l’adulte,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cf. art. 261 al. 1 CPC). c) En l’espèce, il apparaît manifeste, au vu des informations fournies par le SPJ et l’AEMO, que le recourant n'est pas en mesure actuellement d’assumer son rôle de père et que le développement des enfants serait gravement menacé si leur garde lui était restituée. Bien que l’intéressé soit réellement soucieux du bien- être de ses enfants, il souffre en effet d’une fragilité psychique et d’une importante dépendance aux produits psychotropes et augmente ses consommations lorsqu’il se trouve</w:t>
      </w:r>
    </w:p>
    <w:p>
      <w:r>
        <w:t>- 11 - en situation de stress, notamment lorsqu’il est confronté à des difficultés familiales ou en rapport avec les enfants. Le recourant est apparemment conscient de cette situation, puisqu'il ne conteste pas le principe même du retrait. Dans ces conditions, la durée du délai fixé par l’autorité de protection au SPJ pour déposer son rapport n’apparaît pas excessive. Elle l’est d’autant moins que le contexte impose d'avoir le recul nécessaire pour analyser sereinement la situation des enfants tout en tenant compte de l'évolution du père dans sa problématique personnelle. Quant à la possibilité que les parents du recourant accueillent leurs petits enfants, la cour de céans, au stade des mesures provisionnelles, considère qu’il est prématuré de prendre position sur ce point. Il conviendra que l’autorité de protection examine l’opportunité de confier temporairement les enfants à leurs grands-parents, en fonction des informations complémentaires qui lui seront communiquées ultérieurement. En l’état, l’intérêt des enfants commande de ne pas modifier la situation.</w:t>
      </w:r>
    </w:p>
    <w:p>
      <w:r>
        <w:rPr>
          <w:b/>
        </w:rPr>
        <w:t>E. 3</w:t>
      </w:r>
    </w:p>
    <w:p>
      <w:r>
        <w:t>En conclusion, le recours doit être rejeté et l’ordonnance confirmée. Le présent arrêt peut être rendu sans frais judiciaires (art. 74a al. 4 TFJC [tarif du 28 septembre 2010 des frais judiciaires civils, RSV 270.11.5]). Par ces motifs, la Chambre des curatelles du Tribunal cantonal, statuant à huis clos, prononce : I. Le recours est rejeté.</w:t>
      </w:r>
    </w:p>
    <w:p>
      <w:r>
        <w:t>- 12 - II. L’ordonnance est confirmée. III. L’arrêt est rendu sans frais judiciaires. IV. L'arrêt motivé est exécutoire. La présidente : La greffière : Du 8 mai 2014 Le dispositif de l'arrêt qui précède est communiqué par écrit aux intéressés. La greffière : Du L'arrêt qui précède, dont la rédaction a été approuvée à huis clos, est notifié à : - Me Bernadette Schindler Velasco (pour A.T.________), - D.T.________, - [...], assistante sociale au Service de protection de la jeunesse,</w:t>
      </w:r>
    </w:p>
    <w:p>
      <w:r>
        <w:t>- 13 - et communiqué à : - Mme la Juge de paix du district du Jura – Nord vaudois,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