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LN25.027929 vom 6. Oktober 2025</w:t>
      </w:r>
    </w:p>
    <w:p>
      <w:r>
        <w:t>VD Tribunal cantonal, 2025-10-06, FR</w:t>
      </w:r>
    </w:p>
    <w:p>
      <w:r>
        <w:rPr>
          <w:b/>
        </w:rPr>
        <w:t xml:space="preserve">Quelle: </w:t>
      </w:r>
      <w:r>
        <w:t>https://mcp.opencaselaw.ch/entscheid/vd_gerichte_LN25.027929</w:t>
      </w:r>
    </w:p>
    <w:p>
      <w:r>
        <w:t>FR: VD_GERICHTE LN25.027929 du 6 octobre 2025</w:t>
      </w:r>
    </w:p>
    <w:p>
      <w:r>
        <w:t>IT: VD_GERICHTE LN25.027929 del 6 ottobre 2025</w:t>
      </w:r>
    </w:p>
    <w:p>
      <w:pPr>
        <w:pStyle w:val="Heading2"/>
      </w:pPr>
      <w:r>
        <w:t>Erwägungen</w:t>
      </w:r>
    </w:p>
    <w:p>
      <w:r>
        <w:rPr>
          <w:b/>
        </w:rPr>
        <w:t>E. 5</w:t>
      </w:r>
    </w:p>
    <w:p>
      <w:r>
        <w:t>Le recourant requiert la production de deux pièces, l’une en mains de l’intimée (pièce requise n° 51 : déclaration de résidence concernant la mère par [...]) et l’autre en mains de K.________, psychologue de l’enfant (pièce requise n° 52 : tout document attestant de la prise de contact entre la psychologue et le père de l’enfant).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 En l’occurrence, on ne voit pas quelles constatations de faits supplémentaires ces pièces requises seraient susceptibles d’apporter concernant la fixation provisoire des droits parentaux, la Chambre de céans s’estimant, par appréciation anticipée des preuves, suffisamment</w:t>
      </w:r>
    </w:p>
    <w:p>
      <w:r>
        <w:t>- 22 - renseignée sur la base du dossier pour statuer. Au demeurant, le recourant a eu l’occasion de produire un courrier récent émanant de la psychologue de l’enfant par lequel elle reconnaît ne pas avoir pu prendre contact avec le père, de sorte que le pièce requise y relative n’apparaît plus utile. Il n’y a dès lors pas lieu d’accéder à ces réquisitions de preuves.</w:t>
      </w:r>
    </w:p>
    <w:p>
      <w:r>
        <w:rPr>
          <w:b/>
        </w:rPr>
        <w:t>E. 6.1</w:t>
      </w:r>
    </w:p>
    <w:p>
      <w:r>
        <w:t>Dans un premier moyen, le recourant critique l’attribution de la garde (de fait) à la mère de l’enfant, qui aurait eu lieu par une appréciation hâtive et excessive, et alors même que ce serait le recourant qui avait en premier lieu saisi la justice de paix pour des soupçons de maltraitance de la part de la mère sur l’enfant B.G.________. Pourtant, toujours selon lui, le recourant exerçait jusque-là une garde exclusive sur sa fille, se rendant à tous les rendez-vous médicaux et à toutes les activités de loisirs, d’autant plus qu’il dispose de l’appartement familial de 4,5 pièces et qu’il est sans activité lucrative concrète. Il conteste également tous les reproches de la mère, repris par l’autorité de protection (menaces à l’encontre de l’intimée, risque d’enlèvement de la mineure, soupçons d’utilisation abusive de prestations d’assurance sociale, suspicions de faux dans les titres). Ensuite, le recourant conteste les rapports établis par la Dre T.________ et de la psychologue K.________, de même que la déposition de l’assistante sociale de la DGEJ S.________. Enfin, il soutient que son appartement est mieux adapté à la situation de handicap de sa fille.</w:t>
      </w:r>
    </w:p>
    <w:p>
      <w:r>
        <w:rPr>
          <w:b/>
        </w:rPr>
        <w:t>E. 6.2.1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t>- 23 -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298b et 301a al. 5 CC). L'art.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w:t>
      </w:r>
    </w:p>
    <w:p>
      <w:r>
        <w:rPr>
          <w:b/>
        </w:rPr>
        <w:t>E. 6.2.2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Droit de la filiation, 6e éd., Genève/Zurich/Bâle 2019, n. 1107, pp. 729 et 730).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298b al. 3, 298d al. 2 et 301a al. 5 CC). En présence d’un litige relatif à la garde d’un enfant, la règle fondamentale est l’intérêt de celui-ci, les intérêts des parents devant être relégués au second plan (ATF 142 III 617 consid. 3.2.3; 131 III 209 consid. 5 ; TF 5A_286/2022 du 27 septembre 2022 consid. 3.3.1). Au nombre des critères essentiels, outre l’intérêt de l’enfant, entrent en ligne de compte</w:t>
      </w:r>
    </w:p>
    <w:p>
      <w:r>
        <w:t>- 24 -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(ATF 142 III 617 consid. 3.2.3-3.2.4 ; 136 I 178 consid. 5.3; 115 II 206 consid. 4a ; TF 5A_286/2022 précité ibidem). Si le juge ne peut se contenter d’attribuer l’enfant au parent qui en a eu la garde pendant la procédure, ce critère jouit d’un poids particulier lorsque les capacités d’éducation et de soin des parents sont pour le moins similaires (ATF 136 I 178 consid. 5.3 et les références citées ; TF 5A_105/2014 du 6 juin 2014 consid. 4.2.1 ; de Luze/Page/Stoudmann, Droit de la famille, Lausanne 2013,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(TF 5A_154/2016 du 19 mai 2016 consid. 4.1 ; 5A_146/2011 du 7 juin 2011 consid. 4.3).</w:t>
      </w:r>
    </w:p>
    <w:p>
      <w:r>
        <w:rPr>
          <w:b/>
        </w:rPr>
        <w:t>E. 6.2.3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w:t>
      </w:r>
    </w:p>
    <w:p>
      <w:r>
        <w:t>- 25 -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6.3</w:t>
      </w:r>
    </w:p>
    <w:p>
      <w:r>
        <w:t>Il ressort du dossier que le couple s’est séparé il y a très peu de temps, soit le 1er juin 2025, date du départ de la mère du logement familial. Or, quelques jours plus tard, le 13 juin 2025, le recourant saisissait la justice de paix d’une requête de mesures superprovisionnelles et provisionnelles en sollicitant une suspension du droit aux relations personnelles de la mère au motif qu’elle maltraiterait sa fille, ne la voyait d’ailleurs qu’épisodiquement, et ne bénéficiait d’aucun lieu d’habitation convenable. En réalité, l’intimée a expliqué qu’elle avait résidé en France avec sa fille depuis l’année de sa naissance jusqu’en mai 2024, à savoir pendant près de dix ans, alors que le père leur rendait visite ponctuellement depuis la Suisse. L’intimée avait donc l’habitude de s’occuper de l’enfant durant cette période. Le père avait ensuite emmené sa fille chez lui en Suisse, sans l’accord de la mère, apparemment après avoir appris que cette dernière fréquentait un autre homme. A ce moment-là et pour rester avec sa fille, la mère avait rejoint le père à [...] en mai 2024. C’est le 1er juin 2025 que le père avait mis la mère à la porte, celle-ci s’étant ensuite trouvée un lieu lui permettant à la fois de travailler et de se loger pour le 1er juillet 2025. D’ailleurs, entendue à l’audience, la mère a soutenu que le père ne s’occupait pas bien de sa fille, négligeant les devoirs, les soins, accusant également le recourant d’avoir des dettes et de vouloir s’approprier les biens hérités de sa fille par certains actes douteux. Le recourant allègue que l’autorité aurait procédé à une constatation inexacte ou manifestement erronée des faits, voire arbitraire, notamment en omettant de prendre en compte plusieurs aspects dans son appréciation concernant l’attribution de la garde, tels que le critère de la stabilité de l’environnement de vie pour l’enfant, l’adéquation du</w:t>
      </w:r>
    </w:p>
    <w:p>
      <w:r>
        <w:t>- 26 - logement, les faits de violence de la mère sur sa fille et les compétences éducatives du recourant. Il est incontestable que la pathologie dont souffre B.G.________ nécessite un suivi conséquent et des moyens. A cet égard, il résulte du dossier que la mère s’est occupée seule de sa fille en France pendant plusieurs années, alors que le père se trouvait en Suisse, sans que cela ne pose de problème ; elle a assuré les démarches nécessitées par son handicap, et c’est le père qui, au printemps 2024, a décidé de prendre unilatéralement B.G.________ auprès de lui. Jusque-là, la mère avait également assuré le suivi administratif. Le père soutient que la mère aurait maltraité sa fille, alors que l’instruction montre que ce n’était pas des actes volontaires et qu’il s’agit de quelques épisodes qui ont été amplifiés. Quant aux capacités parentales du père, qui n’auraient pas fait l’objet d’un examen concret, on relèvera que la séparation date du mois de juin 2025 et qu’il est prématuré de demander une instruction complète à ce stade, étant rappelé qu’une enquête a été ouverte par l’autorité de protection laquelle a justement pour objectif d’évaluer cet aspect, entre autres. Il s’agit ici uniquement de déterminer, du point de vue de l’intérêt supérieur de l’enfant, auprès de quel parent celle-ci doit vivre le temps de la procédure. Les rapports des thérapeutes de B.G.________ confirment, de manière concordante, que la mère est un pilier de l’accompagnement de l’enfant dans le suivi ; au contraire, le père ne s’est manifesté que depuis le mois de juin 2025, ce qui a provoqué chez l’enfant des situations de crise plus fréquentes, une attitude oppositionnelle ou encore une perte de poids, ce qui est tout de même le signe d’une problématique ; en d’autres termes, les soins donnés à l’enfant par la mère ont été unanimement loués par les professionnels. Certes, le père soutient qu’il a été présent aux rendez-vous, mais en oubliant qu’il n’a procédé à ce suivi que depuis quelques semaines – alors que la mère a assuré cette tâche pendant plusieurs années – et que le fait de soutenir que, dès lors qu’il émarge à l’aide sociale, il a toute disponibilité pour s’occuper de sa fille alors que la mère travaille est un raccourci préoccupant, qui revient à nier ce qu’est le</w:t>
      </w:r>
    </w:p>
    <w:p>
      <w:r>
        <w:t>- 27 - but de l’aide sociale. Cet argument est par ailleurs peu pertinent dans la mesure où la mère exerce comme indépendante dans le nouvel institut de beauté ouvert dans local commercial et d’habitation qu’elle loue, ce qui lui laissera la possibilité d’adapter ses horaires pour s’occuper de sa fille. Le père soutient que le local commercial serait inapte à accueillir une fille handicapée, puisque certaines commodités devraient être partagées avec la clientèle, qu’il ne s’agirait que d’un deux pièces, qu’il y aurait des produits chimiques, que B.G.________ aurait peur des chiens de l’associé. Ces critiques ne sont pas suffisantes pour renverser l’appréciation faite par l’autorité de première instance, le critère de l’intérêt supérieur de l’enfant étant primordial. On peut en outre relever que le père est largement responsable de cette problématique, puisqu’il a mis la mère à la porte sans préavis, obligeant celle-ci à se trouver un nouveau logement en urgence. Au vu de ce qui précède, on doit constater que les premiers juges ont bien pris en considération l’ensemble des circonstances pertinentes dans le cadre de leur décision, toutefois en appréciant, à juste titre, la situation sous le seul angle de l’intérêt supérieur de l’enfant, lequel constitue le critère déterminant et prime l’intérêt des parents. En définitive, comme retenu par l’autorité de première instance, on doit considérer qu’il est dans l’intérêt de l’enfant de demeurer provisoirement, pour la durée de l’enquête, sous la garde de sa mère, afin d’assurer à la mineure une stabilité et une continuité dans sa prise en charge. Ce dernier point prend d’autant plus d’importance que l’enfant est en situation de handicap et présente des besoins très spécifiques, qui sont toutefois bien connus de la mère, de sorte que celle-ci paraît apte à y répondre. En définitive, le recourant n’apporte aucun argument qui justifierait de modifier l’attribution de la garde à ce stade de la procédure. L’ordonnance entreprise apparaît ainsi bien fondée et doit être confirmée à cet égard.</w:t>
      </w:r>
    </w:p>
    <w:p>
      <w:r>
        <w:rPr>
          <w:b/>
        </w:rPr>
        <w:t>E. 7</w:t>
      </w:r>
    </w:p>
    <w:p>
      <w:r>
        <w:t>- 28 -</w:t>
      </w:r>
    </w:p>
    <w:p>
      <w:r>
        <w:rPr>
          <w:b/>
        </w:rPr>
        <w:t>E. 7.1</w:t>
      </w:r>
    </w:p>
    <w:p>
      <w:r>
        <w:t>Dans un deuxième moyen, subsidiaire, le recourant requiert que le droit de visite au Point Rencontre soit levé au profit de l’instauration d’un droit de visite usuel en sa faveur.</w:t>
      </w:r>
    </w:p>
    <w:p>
      <w:r>
        <w:rPr>
          <w:b/>
        </w:rPr>
        <w:t>E. 7.2.1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w:t>
      </w:r>
    </w:p>
    <w:p>
      <w:r>
        <w:t>- 29 -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7.2.2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w:t>
      </w:r>
    </w:p>
    <w:p>
      <w:r>
        <w:t>- 30 - 2005 I 201 ; TF 5A_334/2018 du 7 août 2018 consid. 3.1 ; 5A_877/2013 du</w:t>
      </w:r>
    </w:p>
    <w:p>
      <w:r>
        <w:rPr>
          <w:b/>
        </w:rPr>
        <w:t>E. 7.3</w:t>
      </w:r>
    </w:p>
    <w:p>
      <w:r>
        <w:t>Selon la décision attaquée, ce droit de visite surveillé a été imposé par crainte que le recourant ne respecte pas les modalités de la garde fixées par l’ordonnance entreprise. On constate effectivement que celui-ci n’a pas de travail, qu’il est de nationalité française et est susceptible de quitter le territoire suisse avec sa fille sans préavis, comme il l’a fait lorsqu’il est venu chercher sa fille en France pour l’emmener en Suisse sans l’accord de la mère. Ce type d’agissements n’a évidemment rien de rassurant dans l’optique d’un droit de visite usuel. Certes, il est peu probable que le père ne décide de fuir avec l’enfant, compte tenu du fait qu’il dispose de certaines facilités en Suisse. Il n’en reste pas moins que la situation est très tendue et que la pathologie de l’enfant, qui se déplace en chaise roulante ou a minima avec un déambulateur, rend les choses quelque peu compliquées. Par ailleurs, il sied de prendre en compte que la situation de séparation est vraiment très récente, que le conflit parental est majeur et que les professionnels entourant l’enfant ont constaté que celle-ci semblait aller moins bien depuis la séparation, de sorte qu’il paraît assez rassurant de prévoir ce droit de visite surveillé, à tout le moins jusqu’à ce que l’UEMS ait procédé à un certain nombre d’investigations. Les rapports des professionnels ne suffisent en effet pas à supprimer toute inquiétude à ce sujet. Il convient également d’éviter que la mineure soit exposée au conflit parental lors des passages. Il en résulte que la protection de l’enfant, dont on doit s’assurer que le cadre de vie ne sera pas une nouvelle fois bouleversé durant la procédure et qu’elle sera épargnée des tensions parentales lors des visites, justifie que les relations personnelles père-fille s’exercent provisoirement dans un cadre surveillé.</w:t>
      </w:r>
    </w:p>
    <w:p>
      <w:r>
        <w:t>- 32 - Par ailleurs, on notera que le droit de visite du recourant n’est que peu restreint dans la mesure où il peut s’exercer à l’extérieur des locaux. La situation sera quoi qu’il en soit revue dans son ensemble, à l’issue de l’évaluation de l’UEMS, dont le rapport devrait être remis d’ici quelques mois. Le grief, manifestement mal fondé, doit être rejeté sur ce point également. Pour le surplus, s’agissant de la durée des visites au Point Rencontre, le recourant pourra solliciter auprès de la justice de paix un élargissement de celle-ci à 6 heures si le droit de visite se déroule bien pendant un certain temps. 8. 8.1 En conclusion, le recours, manifestement infondé, doit être rejeté dans la mesure de sa recevabilité et l’ordonnance entreprise confirmée. 8.2 8.2.1 Le recourant sollicite l’assistance judiciaire complète pour la présente procédure. 8.2.2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w:t>
      </w:r>
    </w:p>
    <w:p>
      <w:r>
        <w:t>- 33 - ne lui coûte rien (TF 5D_171/2020 du 28 octobre 2020 consid. 3.1 et les références citées). 8.2.3 Le recours de A.G.________ était manifestement dépourvu de chances de succès, dès lors qu’eu égard aux considérants qui précèdent, la situation était claire, en ce sens que la fixation provisoire des droits parentaux telle que prévue par l’ordonnance attaquée s’avérait manifestement justifiée, adaptée aux circonstances et conforme à l’intérêt supérieur de l’enfant – qui prime celui des parents –, de sorte qu’un plaideur raisonnable aurait renoncé à agir dans ces circonstances. La requête d’assistance judiciaire déposée par le recourant doit par conséquent être rejetée (art. 117 let. b CPC a contrario). 8.3 Les frais judiciaires de deuxième instance sont arrêtés à 600 fr. (art. 74a al. 1 TFJC [tarif du 28 septembre 2010 des frais judiciaires civils ; BLV 270.11.5]) et mis à la charge du recourant, dès lors qu’il succombe (art. 106 al. 1 CPC, applicable par renvoi des art. 314 al. 1, 450f CC et 12 al. 1 LVPAE). 8.4 Les autres parties à la procédure n’ayant pas été interpellées, il n’y a pas lieu à l’allocation de dépens. Par ces motifs, la Chambre des curatelles du Tribunal cantonal, statuant à huis clos, prononce : I. Le recours est rejeté dans la mesure où il est recevable. II. L’ordonnance de mesures provisionnelles est confirmée. III. La requête d’assistance judiciaire du recourant A.G.________ est rejetée.</w:t>
      </w:r>
    </w:p>
    <w:p>
      <w:r>
        <w:t>- 34 - IV. Les frais judiciaires de deuxième instance, arrêtés à 600 fr. (six cents francs), sont mis à la charge du recourant A.G.________. V. L'arrêt est exécutoire. La présidente : La greffière : Du L'arrêt qui précède, dont la rédaction a été approuvée à huis clos, est notifié à : - Me Matthieu Silacci (pour A.G.________), - Me Stéphanie Zaganescu (pour H.________), - Fondation Jeunesse et Familles, Point Rencontre, - Direction générale de l’enfance et de la jeunesse, ORPM [...], - Direction générale de l’enfance et de la jeunesse, UEMS, et communiqué à : - Mme la Juge de paix du district de Lavaux-Oron, - Direction générale de l’enfance et de la jeunesse, Unité d’appui juridique, par l'envoi de photocopies.</w:t>
      </w:r>
    </w:p>
    <w:p>
      <w:r>
        <w:t>- 35 -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10</w:t>
      </w:r>
    </w:p>
    <w:p>
      <w:r>
        <w:t>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t>- 31 - Pour fixer le droit aux relations personnelles, le juge fait usage de son pouvoir d’appréciation (art. 4 CC ; ATF 131 III 209 consid. 3 ; 120 II 229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