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LN24.011212 vom 4. Februar 2025</w:t>
      </w:r>
    </w:p>
    <w:p>
      <w:r>
        <w:t>VD Tribunal cantonal, 2025-02-04, FR</w:t>
      </w:r>
    </w:p>
    <w:p>
      <w:r>
        <w:rPr>
          <w:b/>
        </w:rPr>
        <w:t xml:space="preserve">Quelle: </w:t>
      </w:r>
      <w:r>
        <w:t>https://mcp.opencaselaw.ch/entscheid/vd_gerichte_LN24.011212</w:t>
      </w:r>
    </w:p>
    <w:p>
      <w:r>
        <w:t>FR: VD_GERICHTE LN24.011212 du 4 février 2025</w:t>
      </w:r>
    </w:p>
    <w:p>
      <w:r>
        <w:t>IT: VD_GERICHTE LN24.011212 del 4 febbraio 2025</w:t>
      </w:r>
    </w:p>
    <w:p>
      <w:pPr>
        <w:pStyle w:val="Heading2"/>
      </w:pPr>
      <w:r>
        <w:t>Erwägungen</w:t>
      </w:r>
    </w:p>
    <w:p>
      <w:r>
        <w:rPr>
          <w:b/>
        </w:rPr>
        <w:t>E. 20</w:t>
      </w:r>
    </w:p>
    <w:p>
      <w:r>
        <w:t>décembre 2024, A.A.________ a emmené son fils C.A.________ aux urgences pédiatriques de l’Hôpital [...]. Dans un certificat médical du 22 décembre 2024, la Dre [...] a certifié que ce jour, A.A.________ avait accompagné ses enfants C.A.________ et B.A.________ à son cabinet. La médecin a également vu A.E.________ le 18 mars 2024, C.A.________ le 27 août 2024 et B.A.________ le 17 septembre 2024. En d roit : 1. 1.1 Le recours est dirigé contre une décision de la justice de paix retirant à une mère le droit de déterminer le lieu de résidence de ses trois enfants mineurs et confiant des mandats de placement et de garde à la DGEJ. 1.2 1.2.1 Contre une telle décision, le recours de l'art. 450 CC est ouvert à la Chambre des curatelles (art. 8 LVPAE [Loi du 29 mai 2012 d'application du droit fédéral de la protection de l'adulte et de l'enfant ;</w:t>
      </w:r>
    </w:p>
    <w:p>
      <w:r>
        <w:t>- 18 -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1.2.2 L’art. 446 al. 1 CC prévoit que l'autorité de protection établit les faits d'office. L’art. 229 al. 3 CPC étant applicable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w:t>
      </w:r>
    </w:p>
    <w:p>
      <w:r>
        <w:t>- 19 - autorité pouvant, au lieu de prendre position, reconsidérer sa décision (al. 2). Lorsque le recours est manifestement mal fondé, l'autorité de recours peut renoncer à consulter l'autorité de protection (Reusser, Basler Kommentar, nn. 6 ss ad art. 450d CC, p. 2957). 1.3 Motivé et interjeté en temps utile par la mère des mineurs concernés,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les pères des enfants et la DGEJ n’ont pas été invités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 La procédure devant l'autorité de protection est régie par les art. 443 ss CC. Les personnes concernées doivent être entendues personnellement, à moins que l’audition personnelle ne paraisse disproportionnée (art. 447 al. 1 CC).</w:t>
      </w:r>
    </w:p>
    <w:p>
      <w:r>
        <w:t>- 20 -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L'autorité de protection de l'enfant ordonne, si nécessaire, la représentation de l'enfant et désigne un curateur expérimenté en matière d'assistance et dans le domaine juridique. Elle examine si elle doit instituer une curatelle, en particulier lorsque la procédure porte sur le placement de l'enfant (art. 314a bis CC). 2.3 En l’espèce, A.A.________ a été entendue par la justice de paix lors de de l’audience du 7 novembre 2024. Les pères des enfants et l’assistante sociale de la DGEJ ont également été entendus. Le procès- verbal de l’audience mentionne que la DGEJ déposera encore un rapport, qui sera transmis aux parties pour déterminations, ensuite de quoi il sera statué sans nouvelle audience. Cela a été fait. La DGEJ a établi un rapport complémentaire le 15 novembre 2024 et la recourante s’est déterminée le 26 novembre 2024. A.E.________, alors âgé de onze ans, a été entendu par la juge de paix le 11 décembre 2024. B.A.________ et C.A.________, âgés de respectivement trois ans et un an, étaient en revanche trop jeunes pour être entendus. Le droit d’être entendu de chacun a ainsi été respecté. La décision entreprise est donc formellement correcte et peut être examinée sur le fond.</w:t>
      </w:r>
    </w:p>
    <w:p>
      <w:r>
        <w:t>- 21 - 3. 3.1 A titre de mesure d’instruction, la recourante demande la mise en œuvre d’une expertise pédopsychiatrique afin d’évaluer de manière objective sa capacité à répondre aux exigences parentales et de déterminer, à l’aune de l’intérêt des enfants, si un placement est préférable à un maintien au domicile de la mère. Elle relève que dans la mesure où le placement en foyer est une mesure radicale qui a vocation, par nature, à être révoquée lorsque la situation est à nouveau stable, l’expertise doit également permettre d’établir dans quelle mesure les enfants, en particulier B.A.________ et C.A.________, pourraient quitter le foyer, cas échéant le moment venu, sans être profondément perturbés. 3.2 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3.2.2.1 ; TF 5A_388/2018 du 3 avril 2019 consid. 4.1). 3.3 Il n’y a pas lieu de donner suite à la réquisition de la recourante, une expertise nécessitant beaucoup trop de temps pour être utile dans le cadre de la présente procédure. 4. 4.1 La recourante reproche aux premiers juges de ne pas avoir suffisamment tenu compte des efforts et des démarches qu’elle a entrepris pour répondre aux préoccupations des différentes autorités intervenues dans la situation. Elle déclare qu’elle a pris acte des critiques et des inquiétudes émises à son encontre et y a répondu de son mieux. Elle relève que dans son rapport du 15 novembre 2024, la DGEJ a noté une évolution positive et constaté que les enfants allaient bien. Elle fait valoir</w:t>
      </w:r>
    </w:p>
    <w:p>
      <w:r>
        <w:t>- 22 - qu’elle a demandé à être soumise à une expertise afin d’évaluer sa capacité d’évolution dans le domaine de la réhabilitation des compétences parentales et a sollicité l’intervention de professionnels spécialisés pour un suivi éducatif à domicile, en particulier par l’intermédiaire du Centre médico-social (ci-après : le CMS), comprenant les visites d’une infirmière de la petite enfance. Elle énumère d’autres mesures qu’elle a mises en œuvre, à savoir un suivi en psychomotricité depuis novembre 2024 à raison d’une fois par mois et l’inscription dans un accueil socio-éducatif de jour pour A.E.________, une demande d’intervention du SEI et un suivi psychiatrique pour B.A.________, une prise en charge médicale de ces derniers (urgences pédiatriques les 18 et 20 décembre 2024 en raison de symptômes grippaux et consultation de la pédiatre le 22 décembre 2024), des visites à domicile une fois par semaine par une infirmière de la petite enfance, la fréquentation de la maison ouverte et un suivi psychologique pour elle-même depuis décembre 2024. La recourante soutient que ces multiples mesures et l’institution d’une curatelle éducative constituent des garde-fous suffisants. Elle affirme que la crainte de Z.________ que ses démarches soient une réaction au contexte judiciaire n’a pas lieu d’être, dès lors que cette dernière pourra immédiatement signaler un désengagement de sa part. La recourante souligne également que les mesures alternatives proposées par la DGEJ (fréquentation de la garderie par B.A.________ et C.A.________ trois jours par semaine, devoirs surveillés ou ASEJ pour A.E.________, suivi des infirmières de la petite enfance ou de l’infirmière en soins pédopsychiatriques du CMS d’[...], accompagnement éducatif par le SEI pour B.A.________, pointage développemental pour C.A.________) ont été mises en place ou sont sur le point de l’être, sans qu’elle ne puisse influer pour qu’elles le soient plus rapidement. Elle relève qu’entre le moment où les carences ont été constatées dans le cadre de l’enquête et la mise en œuvre des mesures préconisées, il s’est parfois écoulé plusieurs mois, de sorte que certaines d’entre elles n’ont pas encore produit leurs effets.</w:t>
      </w:r>
    </w:p>
    <w:p>
      <w:r>
        <w:t>- 23 - La recourante affirme que sa volonté de se soumettre à une expertise démontre son intention sincère de travailler sur ses compétences parentales et d’apporter des changements positifs dans sa manière de gérer sa famille sur le long terme. Elle souligne que faute de place dans les foyers, le placement des enfants n'a pas pu être exécuté et que plus le temps passe, plus les mesures de substitution « prennent ancrage » et réduisent la nécessité du placement. 4.2 4.2.1 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 Pichonnaz/Foëx/Fountoulakis [éd.], Commentaire romand, Code civil I, Art. 1-456 CC, 2e éd., Bâle 2024,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t>- 24 - 4.2.2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w:t>
      </w:r>
    </w:p>
    <w:p>
      <w:r>
        <w:t>- 25 -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5A_754/2023 du 7 février 2024 consid. 3.1 ; TF 5A_775/2021 du 20 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TF 5A_286/2022 du 27 septembre 2022 consid. 3.3.2 ; TF 5A_775/2021 du 20 octobre 2021 consid. 3.3).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 CCUR 27 septembre 2018/176 qui concerne des abus sexuels commis sur une enfant placée en foyer).</w:t>
      </w:r>
    </w:p>
    <w:p>
      <w:r>
        <w:t>- 26 - 4.2.3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4.3 En l’espèce, il ressort du dossier que la DGEJ suit la situation de la famille depuis 2013, soit avant même la naissance d’A.E.________, qu’entre 2021 et 2024, plusieurs signalements ont été effectués en raison de faits de violence domestique au sein du couple A.A.________ et que le 1er mars 2024, la situation d’C.A.________ a été signalée par un médecin du CAN Team en raison d’une fracture du fémur gauche, pour laquelle les parents n’ont pas été en mesure de fournir d’explications, le CURML évoquant en réalité deux fractures dues à de la maltraitance physique, les hypothèses de la mère n’expliquant pas les lésions constatées (expertise du 30 septembre 2024). Une instruction pénale a été ouverte, ainsi qu’une procédure en limitation de l’autorité parentale sur l’ensemble de la fratrie (décision du 13 mars 2024). Les enfants de la recourante ont des besoins particuliers. En effet, B.A.________ présente un retard de développement, probablement un TSA d’origine multifactorielle, lié, selon la neuropédiatre Q.________, à un manque de soins ou de possibles négligences ou maltraitances. Quant à C.A.________, il souffre de plagiocéphalie et d’un hypospade et a subi deux fractures résultant vraisemblablement de maltraitances. Enfin, A.E.________ nécessite un suivi par un psychomotricien et est livré à lui- même. Or, dans son rapport d’évaluation du 22 juillet 2024, la DGEJ constate que le suivi médical des mineurs est gravement lacunaire (absence de démarches pour investiguer le trouble de B.A.________, interruption prématurée des séances de physiothérapie et défaillance dans la poursuite des examens médicaux nécessaires pour C.A.________ et mise en échec du suivi en psychomotricité pour A.E.________ en raison de la passivité de la mère et du fait qu’elle est injoignable). Elle évoque également des carences au niveau de l’hygiène (enfants avec les mêmes</w:t>
      </w:r>
    </w:p>
    <w:p>
      <w:r>
        <w:t>- 27 - vêtements sales pendant plusieurs jours, odeurs sur les habits, expulsion du couple A.A.________ d’un premier logement pour insalubrité évitée de justesse dans le second logement), une consommation excessive des écrans, une sous-stimulation des deux cadets et un surpoids important de l’aîné. Elle souligne qu’A.A.________ ne reconnait pas de manière générale les inquiétudes pour le développement de ses enfants, invoque systématiquement des raisons pour ne pas accepter les investigations ou les aides qui lui sont suggérées, met en échec les mesures et les suivis proposés ou mis en place, n’effectue pas, ou tardivement, les démarches les plus indispensables (renouvellement de son permis B ou paiement du loyer) et refuse généralement les propositions allant dans le sens d’un soutien éducatif autre que financier. La recourante relève qu’elle a désormais mis en place différentes mesures, dont celles alternatives proposées par la DGEJ. Elle produit différents documents pour confirmer ses dires. Dans son rapport complémentaire du 15 novembre 2024, la DGEJ constate effectivement, avec les différents intervenants, qu’A.A.________ semble dorénavant mettre en place les actions et les prises en charges recommandées depuis longtemps pour ses enfants. Elle estime toutefois que cela ne part pas d’une réelle compréhension des besoins des mineurs, mais est plutôt une réaction au contexte judiciaire. Elle se questionne en outre sur les capacités de la mère à comprendre, élaborer et anticiper les besoins de ses enfants dès lors qu’il est nécessaire de lui réexpliquer les mêmes éléments à de nombreuses reprises. Elle considère que l’aptitude de la recourante à offrir un cadre contenant et sécure à ses enfants est insuffisante. Elle évoque des mises en danger par accident ou de blessures pour les benjamins et constate que l’aîné manque d’accompagnement et est livré à lui-même. A cet égard, on mentionnera que lors de la visite à domicile du 11 novembre 2024, les intervenantes de la DGEJ ont constaté des situations dangereuses et une banalisation des risques de blessures et de chute concernant B.A.________ et C.A.________. On rappellera également les fractures de ce dernier, qui pourrait avoir été victime de maltraitances. La DGEJ souligne ainsi que la proposition de mesures de substitution au placement n’est pas sans risque, notamment en termes d’accidents</w:t>
      </w:r>
    </w:p>
    <w:p>
      <w:r>
        <w:t>- 28 - domestiques. Dans son rapport d’évaluation du 22 juillet 2024 et son rapport complémentaire du 5 septembre 2024, la DGEJ observe également que la collaboration de la recourante est essentiellement motivée par le souhait d’éviter un placement de ses enfants et qu’ainsi, pour qu’elle collabore, il faut lui rappeler que l’alternative à une intervention à domicile est le placement des enfants, plusieurs rappels au cadre étant nécessaires pour obtenir une relative collaboration. Elle mentionne aussi que la mère n’a repris contact avec la neuropédiatre qu’après que Z.________ lui avait expliqué que parmi les faits pris en considération dans le constat de négligences graves, il y avait les retards systématiques dans la prise en compte des besoins médicaux de ses enfants. La DGEJ considère ainsi que ce comportement rend la collaboration superficielle et ne permet pas de veiller à ce que la mère pourvoie durablement aux besoins de ses deux cadets. A noter encore que lors de son audition du 7 novembre 2024, Z.________ a affirmé que les démarches de la recourante étaient insuffisantes pour modifier les conclusions du rapport de la DGEJ du 22 juillet 2024, relevant que cela fait plusieurs années qu’un bilan aurait dû être effectué par une psychomotricienne pour A.E.________ et que toutes les autres mesures proposées et/ou mises en place avaient échoué. Elle considère que compte tenu de l’importance des négligences, les enfants sont en danger. On comprend aussi du rapport de la DGEJ du 15 novembre 2024 que si des mesures de substitution à un placement ont été ordonnées, c’est seulement en raison du manque de places en foyer. Ces mesures ne pallient pas à tous les risques et de surcroît ne peuvent pas être mises en place avant plusieurs mois. Il résulte de ce qui précède que le placement des enfants est indispensable, dès lors que la situation dure depuis des années et qu’il est plus que vraisemblable que l’incapacité de la recourante à se mobiliser ne va pas disparaître du jour au lendemain. Chaque nouveau problème risque d'être ignoré, minimisé ou procrastiné. Une curatelle au sens de l'art. 308 al. 1 CC avec des contrôles occasionnels ne serait pas suffisante pour garantir au quotidien le bon</w:t>
      </w:r>
    </w:p>
    <w:p>
      <w:r>
        <w:t>- 29 - développement des enfants et s’assurer qu'ils bénéficient du cadre sécurisant dont ils ont besoin. 5. 5.1 En conclusion, le recours d’A.A.________ doit être rejeté et la décision entreprise confirmée. 5.2 5.2.1 La recourante a requis l’assistance judiciaire pour la procédure de recours. 5.2.2 Selon l’art. 117 CPC, une personne a droit à l’assistance judicaire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w:t>
      </w:r>
    </w:p>
    <w:p>
      <w:r>
        <w:t>- 30 - lui a consacré, de la qualité de son travail, du nombre de conférences, audiences et instances auxquelles il a pris part, du résultat obtenu et de la responsabilité qu’il a assumée (ATF 122 I 1 consid. 3a ; TF 5D_28/2014 du 26 mai 2014 consid. 2.1). 5.2.3 Quand bien même le recours est rejeté, on ne saurait soutenir que la cause était dénuée de chances de succès, ni que l’enjeu du procès ne revêtait pas d’importance, au vu du dernier rapport de la DGEJ. Les conditions précitées étant remplies, il y a lieu d’accorder à la recourante l’assistance judiciaire pour la procédure de recours et de désigner Me Romain Deillon en qualité de conseil d’office de celle-ci. En cette qualité, Me Romain Deillon a droit à une rémunération équitable pour ses opérations et débours dans la procédure de recours. Dans sa liste des opérations et débours du 27 janvier 2025, l’avocat indique avoir consacré 8 heures et 12 minutes à l’exécution de son mandat. Vu la nature du litige et les difficultés de la cause, cette durée est adéquate et peut être admise. Il s’ensuit qu’au tarif horaire de 180 fr. hors TVA (art. 2 al. 1 let. a RAJ [Règlement du 7 décembre 2010 sur l’assistance judiciaire en matière civile ; BLV 211.02.3]), son indemnité doit être fixée au montant arrondi de 1'628 fr., soit 1’476 fr. (8h12 x 180 fr.) à titre d'honoraires, 29 fr. 50 (2% [art. 3bis al. 1 RAJ] x 1’476 fr.) de débours et 121 fr. 95 (8,1% x 1’505 fr. 50 [1’476 fr. + 29 fr. 55]) de TVA sur le tout (art. 2 al. 3 RAJ ; art. 25 al. 1 LTVA [Loi fédérale du 12 juin 2009 régissant la taxe sur la valeur ajoutée ; RS 641.20]). Cette indemnité est provisoirement laissée à la charge de l’Etat. 5.3 Les frais judiciaires de deuxième instance, arrêtés à 800 fr., soit 600 fr. pour l’émolument forfaitaire de décision (art. 74a al. 1 TFJC [Tarif du 28 septembre 2010 des frais judiciaires civils ; BLV 270.11.5]) et 200 fr. pour l’ordonnance sur effet suspensif (art. 60 al. 1 TFJC appliqué par analogie en vertu de l’art. 7 al. 1 TFJC), sont mis à la charge de la recourante, qui succombe (art. 106 al. 1 CPC). Ils seront provisoirement</w:t>
      </w:r>
    </w:p>
    <w:p>
      <w:r>
        <w:t>- 31 - laissés à la charge de l’Etat, compte tenu de l’assistance judiciaire (art. 122 al. 1 let. b CPC). 5.4 La bénéficiaire de l'assistance judiciaire est tenue au remboursement des frais judiciaires et de l’indemnité de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Chambre des curatelles du Tribunal cantonal, statuant à huis clos, prononce : I. Le recours est rejeté. II. La décision est confirmée. III. La requête d’assistance judiciaire est admise, Me Romain Deillon étant désigné conseil d’office d’A.A.________ pour la procédure de recours. IV. L’indemnité d’office de Me Romain Deillon, conseil de la recourante A.A.________ est arrêtée à 1'628 fr. (mille six cent vingt-huit francs), débours et TVA compris, et laissée provisoirement à la charge de l'Etat.</w:t>
      </w:r>
    </w:p>
    <w:p>
      <w:r>
        <w:t>- 32 - V. Les frais judiciaires de deuxième instance, arrêtés à 800 fr. (huit cents francs), mis à la charge de la recourante A.A.________, sont provisoirement laissés à la charge de l’Etat. VI. La bénéficiaire de l'assistance judiciaire est, dans la mesure de l'art. 123 CPC, tenue au remboursement des frais judiciaires et de l’indemnité de son conseil d’office provisoirement laissés à la charge de l'Etat. VII. L'arrêt est exécutoire. La présidente : La greffière : Du L'arrêt qui précède, dont la rédaction a été approuvée à huis clos, est notifié à : - Me Romain Deillon (pour Mme A.A.________), - Me Cinzia Petito (pour I.A.________), - B.E.________, - Z.________, assistante sociale auprès de la Direction générale de l’enfance et de la jeunesse, - Direction générale de l’enfance et de la jeunesse, ORPM de l’Est, et communiqué à : - Mme la Juge de paix du district d’Aigle, - Me Dorothée Raynaud, - Direction générale de l’enfance et de la jeunesse, Unité d’appui juridique,</w:t>
      </w:r>
    </w:p>
    <w:p>
      <w:r>
        <w:t>- 33 -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