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LN23.002166 vom 16. Januar 2024</w:t>
      </w:r>
    </w:p>
    <w:p>
      <w:r>
        <w:t>VD Tribunal cantonal, 2024-01-16, FR</w:t>
      </w:r>
    </w:p>
    <w:p>
      <w:r>
        <w:rPr>
          <w:b/>
        </w:rPr>
        <w:t xml:space="preserve">Quelle: </w:t>
      </w:r>
      <w:r>
        <w:t>https://mcp.opencaselaw.ch/entscheid/vd_gerichte_LN23.002166</w:t>
      </w:r>
    </w:p>
    <w:p>
      <w:r>
        <w:t>FR: VD_GERICHTE LN23.002166 du 16 janvier 2024</w:t>
      </w:r>
    </w:p>
    <w:p>
      <w:r>
        <w:t>IT: VD_GERICHTE LN23.002166 del 16 gennaio 2024</w:t>
      </w:r>
    </w:p>
    <w:p>
      <w:pPr>
        <w:pStyle w:val="Heading2"/>
      </w:pPr>
      <w:r>
        <w:t>Erwägungen</w:t>
      </w:r>
    </w:p>
    <w:p>
      <w:r>
        <w:rPr>
          <w:b/>
        </w:rPr>
        <w:t>E. 6</w:t>
      </w:r>
    </w:p>
    <w:p>
      <w:r>
        <w:t>Dans leur courrier du 10 juillet 2023, G.________, adjointe à la cheffe de l’ORPM L.________, et M.________ ont relevé que plusieurs suivis avaient pu être mis en place, notamment la médiation entre les parents et</w:t>
      </w:r>
    </w:p>
    <w:p>
      <w:r>
        <w:t>- 7 - le suivi pédopsychiatrique de l’enfant. Elles ont ajouté qu'à l'école, W.________ semblait rencontrer certaines difficultés dans ses apprentissages en ce sens que la doyenne avait fait part de ses inquiétudes du fait que l’enfant n'avait pas atteint les objectifs de fin de 2P, qu'il avait été discuté de la maintenir exceptionnellement en 2P et qu'une assistante à l'intégration puisse l'accompagner le cas échéant durant certaines périodes. Les intervenantes de la DGEJ ont indiqué que le psychologue de W.________ avait décrit celle-ci comme fuyante au départ, puis intéressée au fil des rencontres et que, de l'avis de ce dernier, les difficultés de celle-ci étaient liées à sa colère, laquelle l'affectait dans ses apprentissages. Elles ont rapporté avoir également rencontré le frère de l’enfant, V.________, qui leur avait confié qu'il était en colère contre X.________, qui « ferait des histoires » et « proférerait des menaces » à l'égard d'Y.________. G.________ et M.________ ont encore mentionné que X.________ peinait à se centrer exclusivement sur les difficultés de sa fille sans les imputer aux manquements de la mère, la tenant pour responsable de la situation. Enfin, elles ont indiqué que W.________ était en souffrance et en difficulté dans son développement, compte tenu de la situation conflictuelle entre ses parents, et que la médiation ne semblait pas permettre une amélioration des relations entre les parents. Elles ont ainsi conclu à l'institution d'une curatelle d'assistance éducative au sens de l'art. 308 al. 1 CC qui serait confiée à la DGEJ, précisant qu’une expertise des compétences parentales serait nécessaire pour formuler d’autres propositions. Invitée à se déterminer sur le rapport de la DGEJ, Y.________ a exposé par courrier du 27 juillet 2023 qu’elle ne s’opposait pas à la mise en œuvre d’une curatelle d’assistance éducative en faveur de sa fille. Par courrier du 7 août 2023 adressé à M.________, X.________ s’est plaint de la manière dont elle avait procédé en vue d’établir son rapport du 10 juillet 2023, critiquant notamment le contenu de celui-ci et relevant des lacunes dans le fait qu’elle ne l’avait rencontré qu’à une reprise, au demeurant en présence d’Y.________ et jamais avec W.________, alors que la mère avait été vue à plusieurs reprises. Il a considéré que</w:t>
      </w:r>
    </w:p>
    <w:p>
      <w:r>
        <w:t>- 8 - l’assistante sociale était de ce fait incapable de juger de la relation père- fille, que son examen était « non seulement partial et lacunaire, mais également non professionnel ». Il a relevé que la colère évoquée chez W.________ trouvait vraisemblablement sa source dans les propos et l’attitude de la mère. X.________ a donc demandé à l’assistante sociale de compléter son rapport en le rencontrant. Dans ses déterminations du 18 août 2023, X.________ a indiqué à la juge de paix qu’il ne s’opposait pas à la mise en œuvre d’une curatelle à forme de l’art. 308 al. 1 CC « telle que proposée par la DGEJ », précisant que s’il ne partageait pas la teneur du rapport du 10 juillet 2023 précité, la curatelle susmentionnée paraissait dans l’intérêt de l’enfant.</w:t>
      </w:r>
    </w:p>
    <w:p>
      <w:r>
        <w:rPr>
          <w:b/>
        </w:rPr>
        <w:t>E. 7</w:t>
      </w:r>
    </w:p>
    <w:p>
      <w:r>
        <w:t>Le 31 août 2023, les intervenants de la DGEJ ont expliqué que la mineure était en l’état suivie par M.________ de l’ORPM L.________, mais qu’au vu du fait que l’enfant était domiciliée à [...], cette situation allait prochainement faire l’objet d’un transfert à l’ORPM B.________ et que le nom de l’assistante sociale qui reprendrait le suivi serait transmis ultérieurement.</w:t>
      </w:r>
    </w:p>
    <w:p>
      <w:r>
        <w:rPr>
          <w:b/>
        </w:rPr>
        <w:t>E. 8</w:t>
      </w:r>
    </w:p>
    <w:p>
      <w:r>
        <w:t>Le 5 septembre 2023, les experts ont déposé leur rapport d’expertise pédopsychiatrique. Il en ressort notamment que les capacités éducatives de la mère sont préservées bien que fragilisées par certains aspects et qu’elle propose une stabilité contextuelle à sa fille. Pour ce qui est du père, il en ressort que ses capacités éducatives sont partiellement préservées mais qu’il semble en difficulté à proposer à sa fille un cadre et des limites éducatives, contribuant à soutenir l’insécurité manifestée par W.________. Les expertes ont également considéré que l’encadrement actuel que les parents offraient à leur fille apparaissait comme adéquat et répondait aux besoins d’une enfant de son âge, même si certaines fragilités étaient à noter en ce qui concernait le cadre, les limites, l’accueil et la compréhension des émotions de l’enfant.</w:t>
      </w:r>
    </w:p>
    <w:p>
      <w:r>
        <w:t>- 9 -</w:t>
      </w:r>
    </w:p>
    <w:p>
      <w:r>
        <w:rPr>
          <w:b/>
        </w:rPr>
        <w:t>E. 9</w:t>
      </w:r>
    </w:p>
    <w:p>
      <w:r>
        <w:t>Par courrier du 27 octobre 2023, Me C.________ a indiqué que la médiation entre les parents avait pris fin après la quatrième séance, comme cela était prévu dans la décision de la justice de paix d 21 février 2023. Elle a relevé que durant la médiation, les parties avaient pu échanger sur des sujets tels que la communication entre eux et avec leur enfant, le partage d’informations venant de l’école, l’organisation du droit de visite et des vacances et le suivi de la santé de W.________. Elle a ajouté que la médiation s’était déroulée dans un climat tendu et que dans ce contexte particulièrement houleux et malgré toute la patience consentie, elle ne pensait pas qu’une prolongation de la médiation soit utile ou souhaitable.</w:t>
      </w:r>
    </w:p>
    <w:p>
      <w:r>
        <w:rPr>
          <w:b/>
        </w:rPr>
        <w:t>E. 10</w:t>
      </w:r>
    </w:p>
    <w:p>
      <w:r>
        <w:t>Le 7 novembre 2023, X.________ a déposé une requête de mesures superprovisionnelles et provisionnelles tendant à l’attribution en sa faveur de la garde de W.________ et à la fixation d’un droit de visite de la mère par l’intermédiaire du Point Rencontre, subsidiairement à la fixation en sa faveur d’un droit de visite usuel pour lequel il demandait des mesures en cas de non-respect par la mère. Le 13 novembre 2023, après que la juge de paix avait rejeté sa requête de mesures superprovisionnelles, X.________ a sollicité qu’une ordonnance de mesures provisionnelles soit rendue, sans qu’une audience soit tenue. Par déterminations du 11 décembre 2023, la curatrice et Y.________ ont conclu au rejet de la requête. Par ordonnance de mesures provisionnelles du 15 décembre 2023, la juge de paix a rejeté la requête du 7 novembre 2023 précitée. En d roit :</w:t>
      </w:r>
    </w:p>
    <w:p>
      <w:r>
        <w:t>- 10 - 1. 1.1 Le recours est dirigé contre une décision de l’autorité de protection de l’enfant désignant une assistante sociale au sein de la DGEJ en qualité de curatrice provisoire d’assistance éducative au sens de l’art. 308 al. 1 CC en faveur de la fille du recourant.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CCUR 25 avril 2022/67), sous réserve d’une décision relative aux mesures provisionnelles (Droese, Basler Kommentar, Zivilgesetzbuch I, Art. 1-456 CC, 7e éd., Bâle 2022 [ci-après : BSK Zivilgesetzbuch I], n. 21 ad art. 450 CC, p. 2932) contre laquelle le recours doit être déposé dans les dix jours dès la notification de la décision (art. 445 al. 3 CC ; cf. notamment CCUR 3 février 2023/23).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 1.2.2 Les personnes parties à la procédure, les proches de la personne concernée et les personnes qui ont un intérêt juridique à l'annulation ou à la modification de la décision attaquée ont qualité pour recourir (art. 450 al. 2 CC).</w:t>
      </w:r>
    </w:p>
    <w:p>
      <w:r>
        <w:t>- 11 - 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Commentaire romand, Code de procédure civile, Bâle 2019, 2e éd. [ci-après : CR-CPC], n. 89 ad art. 59 CPC, pp. 196 et 197). L'existence d'un intérêt digne de protection du recourant est ainsi une condition de recevabilité de tout recours et doit être constatée d’office (art. 60 CPC ; Bohnet, CR CPC, op. cit., n. 92 ad art. 59 CPC, p. 198). Pour que l'intérêt au recours soit admis, il suffit que le recourant apparaisse atteint dans un droit qui lui appartient (TF 5A_643/2017 du 3 mai 2018 consid. 1.2, non publié à l'ATF 144 III 277). L'intérêt au recours doit être pratique et actuel, l'autorité de recours ne devant se prononcer que sur des questions concrètes et non pas théoriques (ATF 140 III 92 consid. 1.1, JdT 2014 Il 348 ; ATF 131 1 153 consid. 1.2 ; ATF 127 III 429 consid. lb). L'intérêt actuel fait en particulier défaut lorsque la décision attaquée a été exécutée ou est devenue sans objet (ATF 125 Il 86 consid. 5b ; 120 la 165 consid. la). 1.2.3 L'art. 446 al. 1 CC prévoit que l'autorité de protection établit les faits d'office. Compte tenu de l’application de l'art. 229 al. 3 CPC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 1.2.4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w:t>
      </w:r>
    </w:p>
    <w:p>
      <w:r>
        <w:t>- 12 -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Zivilgesetzbuch I, op. cit., nn. 6 ss ad art. 450d CC, p. 2957) 1.3 En l’espèce, motivé et interjeté en temps utile par le père de la mineure concernée, partie à la procédure, le présent recours est recevable, sous réserve des considérations formulées au chiffre 3.3 infra. Par ailleurs, les pièces produites en deuxième instance sont recevables, si tant est qu’elles ne figurent pas déjà au dossier. Le recours étant manifestement mal fondé, au vu des considérations qui seront développées ci-après, il a été renoncé à consulter l'autorité de protection et aucune détermination n’a été recueillie.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w:t>
      </w:r>
    </w:p>
    <w:p>
      <w:r>
        <w:t>- 13 -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5A_131/2021 du 10 septembre 2021 consid. 3.2). 2.3 En l’espèce, à la suite du rapport du 10 juillet 2023, la juge de paix a invité les parties à se déterminer par écrit, ce qu’elles ont fait les 27 juillet et 18 août 2023. W.________, âgée de sept ans, n’a pas été entendue. Son avis a néanmoins pu être pris en considération par l’intermédiaire de l’assistante sociale de la DGEJ. De plus, une expertise pédopsychiatrique a été ordonnée, de sorte que l’enfant a également été entendue dans ce cadre. Au stade des mesures provisionnelles, cela est suffisant et conforme à ses intérêts. Partant, le droit d’être entendu de chacun a été respecté. 3.</w:t>
      </w:r>
    </w:p>
    <w:p>
      <w:r>
        <w:t>- 14 - 3.1 Le recourant ne conteste pas l'instauration d'une curatelle d'assistance éducative pour laquelle il se dit « absolument favorable », mais demande qu’un avocat soit désigné en qualité de curateur provisoire de sa fille. 3.2 3.2.1 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également donner aux parents des recommandations et des directives sur l'éducation et agir directement, avec eux, sur l'enfant (ATF 108 Il 372 consid. 1, JdT 1984 1 612 ; TF 5A_476/2016 du 21 septembre 2016 consid. 5.2.1 ; Hegnauer, Droit suisse de la filiation et de la famille, 4e éd., Berne 1998, adaptation française par Meier, nn. 27.19 et 27.19a, pp. 188 et 189). La curatelle de l'art. 308 al. 1 CC doit être ordonnée lorsque les circonstances l'exigent, c'est-à-dire lorsque, à défaut d'un tel appui, les parents ne peuvent faire face à leur tâche, sans toutefois que des mesures plus énergiques soient nécessaires (MCF Filiation, FF 1974 Il 82 ss, ch. 323.42). L'art. 308 al. 1 CC s'inscrit dans le cadre général des mesures protectrices de l'enfant. L'institution d'une telle curatelle présuppose d'abord, comme toute mesure de protection (art. 307 al. 1 CC), que l'enfant coure un danger et que son développement soit menacé (TF 5A_603/2022 du 28 avril 2023 consid. 3.1.1 et les références citées ; TF 5A_791/2022 du 26 janvier 2023 consid. 7.2 ; TF 5A_476/2016 du 21 septembre 2016 consid. 5.2.2 et les références citées ; ATF 108 Il 372 consid. 1, JdT 1984 1 612).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w:t>
      </w:r>
    </w:p>
    <w:p>
      <w:r>
        <w:t>- 15 -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Ce mandat peut, mais ne doit pas nécessairement, être couplé avec une curatelle à pouvoirs particuliers (art. 308 al. 2 CC), telle la surveillance des relations personnelles (Meier, Commentaire romand, Code civil l, 2e éd., Bâle 2024 [ci-après : CR CC I], n. 7 ad art. 308 CC, p. 2204). Le curateur assiste les père et mère de ses conseils et de son appui dans le soin de l'enfant. Il exercera sa mission par le dialogue, la médiation et l'incitation, tant à l'égard des parents que de l'enfant (CCUR 24 février 2021/52 ; Meier, CR CC I, op. cit., nn. 8-9 ad art. 308 CC, p. 2204s).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(ATF 140 III 1 consid. 4.2). L'autorité de protection est tenue de vérifier d'office que la condition posée par l'art. 400 al. 1 CC est réalisée, devoir qui incombe aussi à l'autorité de recours (TF 5A 706/2017 du 12 février 2018 consid. 6.2 ; TF 54_904/2014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w:t>
      </w:r>
    </w:p>
    <w:p>
      <w:r>
        <w:t>- 16 - que possible des objections que la personne concernée soulève à la nomination d'une personne déterminée (al. 3). 3.2.2 L'art. 311 al. 1 CPC impose au justiciable de motiver son appel, respectivement son recours.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respectivement du recours, est identique aux moyens déjà présentés au juge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publié in SJ 2018 I 21). La motivation doit être suffisamment explicite pour que l'instance d'appel, respectivement de recours, puisse la comprendre aisément, ce qui suppose une désignation précise des passages de la décision qui sont attaqués et des pièces du dossier sur lesquelles repose la critique (ATF 141 III 569 consid. 2.3.3 ; ATF 138 III 374 consid. 4.3.1 ; TF 5A_356/2020 du 9 juillet 2020 consid. 3.2 ; TF 5A_503/2018 du 25 septembre 2018 consid. 6.3 ; TF 5A_573/2017 du 19 octobre 2017 consid. 3.1). 3.3 3.3.1 En l’espèce, le recourant reproche longuement à M.________ d'avoir outrepassé ses compétences et d'avoir pris parti pour la mère de l'enfant. L'intégralité de ses arguments est liée à la personne de M.________ et à son travail, et non à ses qualifications professionnelles ou sa formation. Le recourant ne tente pas non plus de démontrer ses allégations, mais se limite à répéter les reproches formulés à l’encontre de celle-ci dans son courrier du 7 août 2023. Or il s’avère que cette assistante sociale n’est plus en charge du dossier de W.________ ensuite du transfert de la curatelle provisoire à forme de l’art. 308 al. 1 CC à une autre</w:t>
      </w:r>
    </w:p>
    <w:p>
      <w:r>
        <w:t>- 17 - assistante sociale pour la protection des mineurs auprès de la DGEJ, S.________. Il en découle que les critiques du recourant n’ont plus lieu d’être traitées et que le recours, en tant qu’il concerne la désignation de M.________ en qualité de curatrice provisoire d’assistance éducative, est devenu sans objet, étant précisé encore qu’on ne discerne pas d’erreurs qu’elle aurait commises qui auraient justifié qu’elle soit relevée de sa mission. 3.3.2 Le recourant ayant conclu à la désignation d’un avocat en qualité de curateur à la place d’une assistante sociale de la DGEJ, le recours conserve en revanche un objet sur ce point. S’agissant du choix du curateur, le recourant se borne à affirmer qu'un autre curateur serait mieux à même d'avoir un regard neutre sur la situation de sa fille et qu'il « y a lieu de désigner un avocat afin que la neutralité soit effective ». Cette motivation est lacunaire et ne respecte pas les exigences de l'art. 311 al. 1 CPC, de sorte qu'il est douteux que le recours soit recevable à cet égard. En outre, l’explication complémentaire du 11 décembre 2023 n’est pas recevable car elle a été formulée après l’échéance du délai de recours, le recourant ayant seulement été invité à préciser s’il maintenait ou non son recours. Cela étant, la question de la recevabilité du grief, insuffisamment motivé, peut demeurer indécise dès lors que le recours doit de toute manière être rejeté. En effet, si l'on veut bien admettre qu'un avocat ayant une formation de médiateur pourrait le cas échéant être mieux à même qu'un assistant social à trouver un terrain d'entente entre les parties, on ne peut d'emblée que constater qu'une telle démarche a eu lieu dans le cadre de la médiation ordonnée et que la médiatrice, Me C.________, a informé la justice de paix le 27 octobre 2023 qu'elle ne pensait pas qu'une prolongation de la médiation soit utile ou souhaitable. En tout état de cause, la curatelle d’assistance éducative au sens de l'art. 308 al. 1 CC n'est pas une médiation, mais une mesure de protection consistant à ce qu’un curateur assiste les parents et leur fournisse des conseils en matière éducative et de soins de l’enfant. On ne discerne pas</w:t>
      </w:r>
    </w:p>
    <w:p>
      <w:r>
        <w:t>- 18 - dans cette mesure quelle(s) compétence(s) particulière(s) pourrait avoir, par principe, un avocat dans la prise en charge d'un enfant en danger, compétence(s) que n'aurait pas un assistant social spécialiste des mineurs. Le recourant ne fait au demeurant rien valoir à ce propos, se contentant d'une profession de foi. On relève par ailleurs que, dans un premier temps, alors qu’il était assisté d’un avocat, X.________ avait déclaré être d’accord avec la curatelle « telle que proposée par la DGEJ », respectivement que cette mesure soit confiée à une assistante sociale de cette direction selon les conclusions du rapport du 10 juillet 2023. Ainsi, au regard des compétences en matière éducative et de soins requises, il n’est ici pas adéquat de confier une curatelle à forme de l’art. 308 al. 1 CC à un avocat. 3.3.3 Compte tenu de ce qui précède, c’est à juste titre que la juge de paix a désigné une assistante sociale de la DGEJ en qualité de curatrice provisoire à forme de l’art. 308 al. 1 CC de l’enfant concernée. 4. 4.1 En conclusion, en tant qu’il a conservé un objet, le recours doit être rejeté dans la mesure de sa recevabilité et l’ordonnance confirmée. 4.2 Le recourant a requis l’assistance judiciaire. 4.2.1 Une personne a droit à l’assistance judiciaire si elle ne dispose pas de ressources suffisantes et si sa cause ne paraît pas dépourvue de toute chance de succès (art. 117 CPC). Un procès est dépourvu de chances de succès lorsque les perspectives de le gagner sont notablement plus faibles que les risques de le perdre.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w:t>
      </w:r>
    </w:p>
    <w:p>
      <w:r>
        <w:t>- 19 - 4.2.2 En l’espèce, l’adéquation et les qualités professionnelles de l’assistante sociale nommée en tant que curatrice provisoire à forme de l’art. 308 al. 1 CC étaient manifestes et il n’apparaissait clairement pas opportun de confier ce rôle à un avocat, de sorte qu’un plaideur raisonnable aurait renoncé à agir. Le recours était d'emblée dépourvu de chances de succès et la requête d’assistance judiciaire doit par conséquent être rejetée. 4.3 Les frais judiciaires de deuxième instance, arrêtés à 500 fr., soit 300 fr. pour l’émolument forfaitaire de décision (art. 74a al. 1 TFJC [tarif du 28 septembre 2010 des frais judiciaires civils ; BLV 270.11.5]) et 200 fr. pour l’ordonnance sur effet suspensif (art. 60 al. 1 TFJC appliqué par analogie en vertu de l’art.7 al. 1 TFJC), sont mis la charge du recourant, qui succombe (art. 106 al. 2 CPC). 4.4 Il n’y a pas lieu à l’allocation de dépens de deuxième instance, l’intimée n’ayant pas été invitée à se déterminer. Par ces motifs, la Chambre des curatelles du Tribunal cantonal, statuant à huis clos, prononce : I. Le recours est rejeté dans la mesure de sa recevabilité. II. L’ordonnance est confirmée. III. La requête d'assistance judiciaire est rejetée. IV. Les frais judiciaires de deuxième instance, arrêtés à 500 fr. (cinq cents francs), sont mis à la charge du recourant X.________.</w:t>
      </w:r>
    </w:p>
    <w:p>
      <w:r>
        <w:t>- 20 - V. L'arrêt est exécutoire. La juge présidant : La greffière : Du L'arrêt qui précède, dont la rédaction a été approuvée à huis clos, est notifié à : - Me Jeton Kryeziu, avocat (pour X.________), - Me Michel Dupuis, avocat (pour Y.________), - DGEJ, ORPM L.________, à l’att. de Mme M.________, - DGEJ, ORPM B.________, à l’att. de Mme S.________, et communiqué à : - Mme la Juge de paix du district de l’Ouest lausannois, - DGEJ, Unité d’appui juridique, par l'envoi de photocopies.</w:t>
      </w:r>
    </w:p>
    <w:p>
      <w:r>
        <w:t>- 21 -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