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LN19.054688 vom 17. August 2021</w:t>
      </w:r>
    </w:p>
    <w:p>
      <w:r>
        <w:t>VD Tribunal cantonal, 2021-08-17, FR</w:t>
      </w:r>
    </w:p>
    <w:p>
      <w:r>
        <w:rPr>
          <w:b/>
        </w:rPr>
        <w:t xml:space="preserve">Quelle: </w:t>
      </w:r>
      <w:r>
        <w:t>https://mcp.opencaselaw.ch/entscheid/vd_gerichte_LN19.054688</w:t>
      </w:r>
    </w:p>
    <w:p>
      <w:r>
        <w:t>FR: VD_GERICHTE LN19.054688 du 17 août 2021</w:t>
      </w:r>
    </w:p>
    <w:p>
      <w:r>
        <w:t>IT: VD_GERICHTE LN19.054688 del 17 agosto 2021</w:t>
      </w:r>
    </w:p>
    <w:p>
      <w:pPr>
        <w:pStyle w:val="Heading2"/>
      </w:pPr>
      <w:r>
        <w:t>Erwägungen</w:t>
      </w:r>
    </w:p>
    <w:p>
      <w:r>
        <w:rPr>
          <w:b/>
        </w:rPr>
        <w:t>E. 4</w:t>
      </w:r>
    </w:p>
    <w:p>
      <w:r>
        <w:t>Ordonner que le droit de visite de la mère puisse s’exercer librement.</w:t>
      </w:r>
    </w:p>
    <w:p>
      <w:r>
        <w:rPr>
          <w:b/>
        </w:rPr>
        <w:t>E. 5</w:t>
      </w:r>
    </w:p>
    <w:p>
      <w:r>
        <w:t>Le 4 mai 2021, les Drs [...] et [...], médecin associé et médecin assistante auprès de l’UPA d’Orbe, ont confirmé que B.________ consultait cette unité depuis 2016 dans le cadre d’un suivi psychiatrique- psychothérapeutique intégré, qu’elle souffrait d’une personnalité émotionnellement labile, type borderline [ICD-10/F60.31] et qu’elle bénéficiait d’un traitement médicamenteux. Ils notaient des difficultés importantes de couple, des difficultés d’organisation et pour entreprendre les activités de la vie quotidienne, lesquelles étaient la source d’angoisses importantes pour la patiente. Ils rappelaient qu’un signalement au SPJ lors de la première grossesse n’avait pas permis de mettre en place un soutien dans la guidance parentale par des professionnels, la problématique de la patiente n’étant que partiellement considérée par la belle-famille.</w:t>
      </w:r>
    </w:p>
    <w:p>
      <w:r>
        <w:rPr>
          <w:b/>
        </w:rPr>
        <w:t>E. 6</w:t>
      </w:r>
    </w:p>
    <w:p>
      <w:r>
        <w:t>Le 5 mai 2021, lors d'une audience devant le Président du Tribunal d'arrondissement de la Broye et du Nord vaudois, B.________ s'est engagée à ne pas revenir dans l'ancien domicile conjugal, sauf pour prendre ses affaires. Le même jour, elle a transmis au juge de paix le procès-verbal de cette audience ainsi que l’attestation précitée de l’UPA d’Orbe du 4 mai 2021. En d roit :</w:t>
      </w:r>
    </w:p>
    <w:p>
      <w:r>
        <w:t>- 16 - 1. 1.1 Le recours est dirigé contre une ordonnance de mesures provisionnelles du juge de paix confirmant le retrait provisoire du droit des parents de déterminer le lieu de résidence de leurs enfants mineurs (art. 310 CC) et maintenant la DGEJ en qualité de détentrice du mandat provisoire de placement et de garde des enfants, rappelant aux parents que la prétention à la contribution d’entretien des enfants passait à la DGEJ et qu’ils étaient tenus de rembourser les frais d’entretien de leurs enfants placés ou d’y contribuer en fonction de leurs revenus conformément à leur obligation d’entretien et ordonnant la mise en œuvre d’une expertise pédopsychiatrique. 1.2 Contre une décision de retrait de droit de garde par ordonnance de mesures provisionnelles, le recours de l'art. 450 CC est ouvert à la Chambre des curatelles (art. 8 LVPAE) et 76 al. 2 LOJV [Loi d'organisation judiciaire du 12 décembre 1979 ; BLV 173.01])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op. cit., n. 42 ad art. 450 CC, p. 2825). Pour tous les points non réglés par le droit fédéral, la procédure est régie par le droit cantonal (art. 450f CC ; Steck, Commentaire du droit de la famille, Protection de l’adulte, Berne 2013, ci-après : CommFam, n. 3 ad art. 450 f CC). Selon l’art. 450f CC, si les cantons n’en disposent pas autrement, les dispositions de la procédure civile s’appliquent par analogie.</w:t>
      </w:r>
    </w:p>
    <w:p>
      <w:r>
        <w:t>- 17 -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La Chambre des curatelles jouit d’un plein pouvoir de cognition pour tous les motifs de recours prévus par la loi, à savoir la violation du droit (ch. 1), la constatation fausse ou incomplète des faits pertinents (ch. 2) et l’inopportunité de la décision (ch. 3) (Meier, CommFam, op. cit., n. 7 ad art. 450a CC et les réf. citées). S’agissant de ce dernier critère,</w:t>
      </w:r>
    </w:p>
    <w:p>
      <w:r>
        <w:t>- 18 -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Conformément à l’art. 450d CC, la Chambre des curatelles donne à la justice de paix l’occasion de prendre position (al. 1), cette autorité pouvant, au lieu de prendre position, reconsidérer sa décision (al. 2). 1.4 En l’espèce, le recours a été interjeté en temps utile par la mère des enfants mineurs concernés. Les pièces produites sont recevables, si tant est qu’elles ne figurent pas déjà au dossier. Le recours étant manifestement mal fondé, au vu des considérations qui seront développées ci-après, la Chambre des curatelles a renoncé à consulter l’autorité de protection.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- 19 - 2.2 2.2.1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 TF 5A_50/2010 du 6 juillet 2010 consid. 2.1, publié in La pratique du droit de la famille [FamPra.ch] 2010 p. 955 ; TF 5C.316/2006 du 5 juillet 2007 consid. 2 non publié aux ATF 133 III 553 consid. 1.2.3). 2.2.2 En l'espèce, la décision a été rendue par le juge de paix, qui a fondé sa compétence sur les art. 275 al. 1 CC et 5 LVPAE. Ce magistrat a procédé à l'audition des parents des enfants lors de son audience du 4 mai 2021 de sorte que leur droit d'être entendu a été respecté. [...] et [...], nés en 2018 et 2019, sont trop jeunes pour être entendus. La décision entreprise est donc formellement correcte et peut être examinée sur le fond. 3. 3.1 Invoquant une constatation incomplète des faits, la recourante fait valoir que le signalement de l'association [...], lequel date d'octobre</w:t>
      </w:r>
    </w:p>
    <w:p>
      <w:r>
        <w:t>- 20 - 2020, relate des faits de juillet 2020. Elle estime que si ces faits étaient si préoccupants, l'association n'aurait pas attendu trois mois pour les signaler. Par ailleurs, elle fait valoir qu'ils sont antérieurs aux mesures prises par les parents, lesquelles ont conduit la DGEJ à renoncer à demander la curatelle préconisée initialement au profit d'une simple surveillance judiciaire. La recourante reproche également au premier juge de ne pas mentionner que le père a également des « lacunes », puisqu'il admet laisser les enfants pour aller travailler en se munissant simplement d'un babyphone. La recourante estime encore que l'instruction du dossier est incomplète. Le premier juge n'aurait nullement instruit la question de sa capacité à s'occuper de ses enfants auprès de ses thérapeutes et de son curateur. Il aurait laissé toute latitude à la DGEJ, qui se serait fondée uniquement sur des faits rapportés par le père. Il aurait dû en outre désigner un curateur ad hoc aux enfants, vu le conflit parental. Invoquant ensuite une violation du droit, la recourante soutient que les principes de proportionnalité et de subsidiarité n'ont pas été respectés dès lors que le droit de déterminer le lieu de résidence des enfants a été retiré aux parents avant même que les mesures de surveillance judiciaire ou de curatelle éducative envisagées plus tôt aient été mises en œuvre. La recourante soutient que la mesure de l'art. 310 CC « n'en est pas une puisque depuis le début de son intervention, la DGEJ plaide pour une garde chez le père » en cas de séparation du couple. Une curatelle éducative aurait été suffisante, la dénonciation de l'association [...] étant contestable, ou plus d'actualité. Une telle mesure l'aurait aidée à cerner les besoins et intérêts de ses enfants, domaine où on lui faisait des reproches.</w:t>
      </w:r>
    </w:p>
    <w:p>
      <w:r>
        <w:t>- 21 - La recourante reproche enfin au premier juge de ne pas avoir fixé son droit de visite. Elle estime qu'il n'appartient pas à la DGEJ de le faire. Elle fait valoir que depuis des mois, elle ne voit plus ses enfants sans la présence d'un tiers, alors que l'interdiction faite à titre superprovisionnel d'être seule avec ses enfants n'a pas été confirmée. 3.2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L'énumération des situations autorisant le retrait, provisoire ou non, du droit de déterminer le lieu de résidence de l'enfant n'est pas exhaustive (Meier/Stettler, Droit de la filiation, 6e éd., Genève/Zurich/Bâle 2019, n. 1744, pp. 1135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w:t>
      </w:r>
    </w:p>
    <w:p>
      <w:r>
        <w:t>- 22 - joue pas non plus de rôle. Il convient d'être restrictif dans l'appréciation des circonstances, un retrait n'étant envisageable que si d'autres mesures ont été vouées à l'échec ou apparaissent d'emblée insuffisantes (TF 5A 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et 186).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Selon l'art. 23 al. 1 LProMin (loi du 4 mai 2004 sur la protection des mineurs ; BLV 850.41), lorsque l'autorité de protection de l'enfant retire le droit de déterminer le lieu de résidence d'un mineur en application de l'art. 310 CC, le SPJ peut être chargé d'un mandat de placement et de garde. Il pourvoit alors au placement du mineur dans une famille ou une institution, au mieux des intérêts du mineur. Aux termes de l'art. 26 RLProMin (règlement d’application de la loi du 4 mai 2004 sur la protection des mineurs ; BLV 850.41.1), lorsque l'autorité judiciaire ou l'autorité de protection de l'enfant retire le droit de déterminer le lieu de</w:t>
      </w:r>
    </w:p>
    <w:p>
      <w:r>
        <w:t>- 23 - résidence au sens de l'art. 310 CC et confie un mandat de placement et de garde au SPJ, ce dernier place le mineur au mieux de ses intérêts, décide de son mode de prise en charge et donne des instructions à la famille ou à l'institution accueillant le mineur. Sont réservées les compétences résiduelles de l'autorité parentale (al. 1). Dans le cadre de son mandat, le SPJ peut définir les relations personnelles qu'entretient le mineur avec ses parents, sous réserve d'une décision contraire d'une autorité judiciaire ou de l'autorité de protection de l'enfant (al. 2). En cas de difficultés dans l'exercice du mandat ou en cas de désaccord des parents, le SPJ s'adresse à l'autorité judiciaire ou de protection de l'enfant (al. 3). Selon l'art. 61 LProMin, un recours est ouvert auprès des autorités de protection de l'enfant à tout intéressé, contre les décisions prises par le SPJ en tant que surveillant ou gardien. La réglementation vaudoise n'est pas contraire au droit fédéral dans la mesure où elle réserve la compétence du juge et de l'autorité de protection en cas de désaccord des parents (CACI 10 décembre 2013/644).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5.20, p. 164 ; sur le tout, CCUR 13 février 2014/30). 3.3 En l'espèce, la recourante a raison de dire que l'instruction n'est pas complète, mais le juge de paix n’a pas d’opinion contraire puisqu’il a seulement pris des mesures provisionnelles, dit qu'il poursuivait l'enquête et ordonné une expertise pédopsychiatrique. Celle-ci aura précisément pour but, notamment, de déterminer les compétences</w:t>
      </w:r>
    </w:p>
    <w:p>
      <w:r>
        <w:t>- 24 - parentales et les meilleures mesures à prendre. Quant aux avis des thérapeutes de la mère au sujet de ses compétences parentales, le juge de paix a, à juste titre, renoncé à les solliciter, au vu de l'attestation du Dr [...], qui a reconnu n'avoir pas d’éléments concrets à mentionner à cet égard. Les principes de proportionnalité et de subsidiarité ne signifient pas que l’on doive d'abord tenter une mesure légère, et si elle ne suffit pas, une plus grave et ainsi de suite. Il s'agit d'évaluer la situation pour déterminer laquelle est « nécessaire et suffisante ». En l'occurrence, il est difficile de savoir ce que la DGEJ aurait préconisé si elle avait reçu le signalement de [...] plus tôt. Mais la description de l'enfant déshydraté, en raison des carences de la mère, auxquelles le père n'a pas pallié, est inquiétante. Cela étant, la situation était très évolutive, les parents sont entrés en conflit puis se sont séparés. La DGEJ a demandé un retrait du droit de déterminer le lieu de résidence des enfants parce que la situation des parents ensemble est problématique en raison de leurs disputes, et celle de chacun des parents séparément est fragile, celle de la mère en raison de ses problèmes psychiques, celle du père parce qu'il était au départ peu impliqué, qu’il est occupé par son travail et qu’il a dû trouver une organisation pour faire garder les enfants par des tiers. A priori il a cependant les capacités parentales pour comprendre les besoins des enfants, raison pour laquelle la DGEJ a accepté que les enfants demeurent avec lui provisoirement. Mais la DGEJ est consciente de la fragilité de cette organisation, l’usage du babyphone évoqué en audience en étant un indice inquiétant, raison pour laquelle elle veut pouvoir intervenir rapidement pour placer les enfants ailleurs qu’auprès de leur père, si celle- ci ne fonctionne pas. Les parents sont en désaccord sur les questions concernant leurs enfants, la mère étant peu consciente de ses limites et espérant, à terme, pouvoir retrouver en tout cas une garde partagée, ce que le père n'envisage pas. En plaidant sa capacité à s'occuper de ses enfants, malgré les signalements qui n'émanent pas du père mais de plusieurs tiers, la recourante montre qu'elle n'accepte pas la perte de la garde. Le dossier démontre que le père n'appréciait pas non plus les ingérences étatiques dans sa famille, même si, vu les difficultés de son</w:t>
      </w:r>
    </w:p>
    <w:p>
      <w:r>
        <w:t>- 25 - épouse, il a dû s'y faire et a collaboré. Un retrait préventif du droit des parents de déterminer le lieu de résidence des enfants était, dans cette situation, tout à fait pertinent, étant rappelé que les enfants n'ont pas été placés en foyer mais sont restés avec l'un des parents, de sorte qu'on peut constater que la DGEJ a trouvé une solution mesurée et pragmatique. Pour le surplus, et vu le jeune âge des enfants, un suivi attentif de la DGEJ reste nécessaire. En ce qui concerne les relations personnelles de la mère, vu l'art. 26 RLProMin, c'est à juste titre que le juge de paix ne l'a pas fixé mais a chargé la DGEJ de veiller au rétablissement d'un lien entre la mère et les enfants, ce qu'elle a fait en organisant des visites chez la mère de la recourante et à la Maison [...]. D'ailleurs, à la date de l'audience, la situation de la mère était encore évolutive : elle séjournait à la Maison [...] sans autorisation de sortie puis allait s'installer dans son propre logement à Vallorbe, de sorte qu'il était nécessaire de mettre les choses en place. La Chambre de céans ne peut par ailleurs pas se prononcer sur le projet de planning produit avec le recours, à supposer qu'il émane bien de la DGEJ, ce qu'on ignore. Il appartiendra à la recourante de contester directement les décisions de la DGEJ au sujet de son droit de visite le cas échéant. 5. En conclusion, le recours de B.________ doit être rejeté et la décision entreprise confirmée. Au vu du sort de la cause, le recours était d’emblée dénué de chances de succès, de sorte que la requête d’assistance judiciaire de B.________ doit être rejetée (art. 117 let. b CPC). En effet, le recours s’avère manifestement infondé au sens de l’art. 322 al. 1 CPC à partir du moment où l’intérêt supérieur des enfants ne pouvait que conduire à son rejet. L'arrêt peut être rendu sans frais judiciaires de deuxième instance (art. 74a al. 4 TFJC [Tarif du 28 septembre 2010 des frais judiciaires civils ; BLV 270.11.5]).</w:t>
      </w:r>
    </w:p>
    <w:p>
      <w:r>
        <w:t>- 26 - Par ces motifs, la Chambre des curatelles du Tribunal cantonal, statuant à huis clos, prononce : I. Le recours est rejeté. II. L’ordonnance est confirmée. III. La requête d’assistance judiciaire est rejetée. IV. L’arrêt, rendu sans frais judiciaires de deuxième instance, est exécutoire. Le président : La greffière : Du L'arrêt qui précède, dont la rédaction a été approuvée à huis clos, est notifié à : - Me Alex Rüedi (pour B.________), - Me Laurent Gilliard (pour Q.________), - Direction générale de l’enfance et de la jeunesse, ORPM du Nord vaudois, et communiqué à :</w:t>
      </w:r>
    </w:p>
    <w:p>
      <w:r>
        <w:t>- 27 - - Service des curatelles et tutelles professionnelles, à l’att. de [...], - Direction générale de l’enfance et de la jeunesse, Unité d’appui juridique,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