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LN19.053393 vom 24. Februar 2021</w:t>
      </w:r>
    </w:p>
    <w:p>
      <w:r>
        <w:t>VD Tribunal cantonal, 2021-02-24, FR</w:t>
      </w:r>
    </w:p>
    <w:p>
      <w:r>
        <w:rPr>
          <w:b/>
        </w:rPr>
        <w:t xml:space="preserve">Quelle: </w:t>
      </w:r>
      <w:r>
        <w:t>https://mcp.opencaselaw.ch/entscheid/vd_gerichte_LN19.053393</w:t>
      </w:r>
    </w:p>
    <w:p>
      <w:r>
        <w:t>FR: VD_GERICHTE LN19.053393 du 24 février 2021</w:t>
      </w:r>
    </w:p>
    <w:p>
      <w:r>
        <w:t>IT: VD_GERICHTE LN19.053393 del 24 febbraio 2021</w:t>
      </w:r>
    </w:p>
    <w:p>
      <w:pPr>
        <w:pStyle w:val="Heading2"/>
      </w:pPr>
      <w:r>
        <w:t>Erwägungen</w:t>
      </w:r>
    </w:p>
    <w:p>
      <w:r>
        <w:rPr>
          <w:b/>
        </w:rPr>
        <w:t>E. 2</w:t>
      </w:r>
    </w:p>
    <w:p>
      <w:r>
        <w:t>octobre 2020 avec la mère. Cette dernière leur avait confirmé séjourner avec sa famille dans un hôtel à V.________. Elle les avait informés qu’Y.________ avait repris sa scolarité depuis le 29 septembre 2020 à l’établissement scolaire du H.________. La DGEJ avait finalement rencontré M.________ dans ses locaux le 8 octobre 2020. Celle-ci leur avait indiqué que son mari, S.________, « travaillait » pour la Confédération. La famille avait quitté la Suisse le 1er septembre 2020 pour des raisons de sécurité. Elle séjournait actuellement toujours à l’hôtel mais prévoyait d’emménager prochainement dans un nouveau logement, dans un autre canton. La Confédération se chargerait de les aider à trouver ce futur lieu de vie. A son audience du 20 octobre 2020, la juge de paix a entendu Q.________ et M.________, S.________ ne se présentant pas, bien que dûment cité à comparaître. La curatrice a indiqué que la mère et sa famille avaient déménagé à D.________ le 13 octobre 2020. Elle pensait qu’il y avait toujours eu beaucoup de questionnements en raison du manque de coopération des parents et qu’une expertise pourrait être nécessaire « pour y voir un peu plus clair ». Au vu des derniers événements, la curatrice a retiré sa proposition du 7 octobre 2019, confirmée le 14 août 2020, tendant à la transformation de la curatelle d’assistance éducative</w:t>
      </w:r>
    </w:p>
    <w:p>
      <w:r>
        <w:t>- 10 - en un mandat de surveillance. Quant à M.________, elle a déclaré que le déménagement à D.________ était définitif et que sa fille y était inscrite à l’école en langue française. Elle a précisé que, lorsqu’elle avait quitté la Suisse avec toute sa famille, « c’était la meilleure décision à prendre pour elle et ses enfants ». Par ailleurs, le fait d’avoir pu élire domicile dans un autre canton les avait tous rassurés et la famille ne voulait plus quitter la Suisse. Par courrier du 23 octobre 2020 adressé à M.________ et à S.________, la juge de paix a indiqué renoncer à ordonner une expertise pédopsychiatrique, compte tenu du fait qu’il n’y avait pas, en l’état, d’éléments nouveaux. Elle a ajouté qu’elle envisageait de proposer à la justice de paix notamment d’instituer une curatelle d’assistance éducative en faveur d’T.________. Un délai au 4 novembre 2020 était imparti aux destinataires du courrier pour se déterminer sur ces éléments. A l’échéance de ce délai, sauf requête expresse tendant à être entendu lors d’une audience, il serait statué à huis clos, soit hors la présence des parties. Dans une autre décision du 12 novembre 2020, la justice de paix a notamment maintenu la curatelle d’assistance éducative à forme de l’art. 308 al. 1 CC en faveur d’Y.________ et a invité l’Autorité de protection de l’enfant et de l’adulte de Bienne à accepter le transfert en son for de cette mesure de curatelle. En d roit : 1. Le recours est dirigé contre une décision de la justice de paix instituant une curatelle d’assistance éducative au sens de l’art. 308 al. 1 CC. 1.1 Contre une telle décision, le recours de l'art. 450 CC est ouvert à la Chambre des curatelles (art. 8 LVPAE [Loi du 29 mai 2012</w:t>
      </w:r>
    </w:p>
    <w:p>
      <w:r>
        <w:t>- 11 -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w:t>
      </w:r>
    </w:p>
    <w:p>
      <w:r>
        <w:t>- 12 -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les parents du mineur concerné, parties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- 13 -</w:t>
      </w:r>
    </w:p>
    <w:p>
      <w:r>
        <w:rPr>
          <w:b/>
        </w:rPr>
        <w:t>E. 2.2.1</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l'audition d'un enfant est possible dès qu'il a six ans révolus (ATF 133 III 553 consid. 3 ; ATF 131 III 553 consid. 1.2.3 ; TF 5A_53/2017 du 23 mars 2017 consid. 4.1).</w:t>
      </w:r>
    </w:p>
    <w:p>
      <w:r>
        <w:rPr>
          <w:b/>
        </w:rPr>
        <w:t>E. 2.2.2</w:t>
      </w:r>
    </w:p>
    <w:p>
      <w:r>
        <w:t>En l’espèce, les parents ont été entendus par la juge de paix à l’audience du 1er septembre 2020. M.________ a été réentendue à l’audience de la première juge du 20 octobre 2020, S.________ ne s’y présentant pas, bien que dûment cité à comparaître. A toutes fins utiles, il est relevé que les parents se sont encore vu accorder un délai pour se déterminer avant que la décision litigieuse ne soit rendue (cf. courrier de la juge de paix du 23 octobre 2020). Le droit d’être entendu des recourants a ainsi été respecté. S’agissant d’T.________ – âgé de moins de quatre ans –, il est constaté qu’il est trop jeune pour être entendu.</w:t>
      </w:r>
    </w:p>
    <w:p>
      <w:r>
        <w:rPr>
          <w:b/>
        </w:rPr>
        <w:t>E. 2.3</w:t>
      </w:r>
    </w:p>
    <w:p>
      <w:r>
        <w:t>La décision entreprise est donc formellement correcte et peut être examinée sur le fond.</w:t>
      </w:r>
    </w:p>
    <w:p>
      <w:r>
        <w:rPr>
          <w:b/>
        </w:rPr>
        <w:t>E. 3</w:t>
      </w:r>
    </w:p>
    <w:p>
      <w:r>
        <w:t>Les recourants font valoir que, depuis leur différend du 17 septembre 2019, aucun autre incident n’a été à déplorer et qu’ils ont pleinement réalisé leur souhait de reprendre de manière sereine et harmonieuse leur vie commune et familiale. En outre, à la différence de ce que retient la décision entreprise, les recourants ne se « complaisent » nullement dans leur situation, ayant en effet conscience de celle-ci. Ils ont ainsi par eux-mêmes pris toutes les dispositions possibles pour que des incidents tels que celui du 17 septembre 2019 ne se reproduisent plus. Par</w:t>
      </w:r>
    </w:p>
    <w:p>
      <w:r>
        <w:t>- 14 - ailleurs, le fait que les recourants n’aient pas fait usage de leur droit d’être entendu s’agissant de la question du maintien de la mesure de curatelle d’assistance éducative n’emporte nullement l’adhésion de leur part à une telle mesure. En définitive, la décision litigieuse ne respecte pas les principes de subsidiarité, de complémentarité et de proportionnalité.</w:t>
      </w:r>
    </w:p>
    <w:p>
      <w:r>
        <w:rPr>
          <w:b/>
        </w:rPr>
        <w:t>E. 3.1.1</w:t>
      </w:r>
    </w:p>
    <w:p>
      <w:r>
        <w:t>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cité : MCF Filiation, FF 1974 II p. 84 ; Meier/Stettler, Droit de la filiation, 6e éd., Genève/Zurich/Bâle 2019, n. 1681, p. 1095 ; Kühnlein, Les droits fondamentaux et le principe de subsidiarité en protection de l’adulte et de l’enfant,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w:t>
      </w:r>
    </w:p>
    <w:p>
      <w:r>
        <w:rPr>
          <w:b/>
        </w:rPr>
        <w:t>E. 3.1.2</w:t>
      </w:r>
    </w:p>
    <w:p>
      <w:r>
        <w:t>L’art. 307 al. 1 CC confie à l’autorité de protection de l’enfant le soin de prendre les mesures nécessaires pour protéger l’enfant si son développement est menacé et que les père et mère n’y remédient pas</w:t>
      </w:r>
    </w:p>
    <w:p>
      <w:r>
        <w:t>- 15 - d’eux-mêmes ou sont hors d’état de le faire. En plus d’être nécessaires pour respecter le principe de proportionnalité, ces mesures doivent aussi être suffisantes pour assurer la protection de l’enfant. Cela a pour conséquence que ces mesures sont subsidiaires aux mesures des art. 310, 311 et 312 CC et qu’elles ne visent en particulier pas à déterminer un nouveau lieu de placement de l’enfant qui présupposerait le retrait du droit de déterminer le lieu de résidence de l’enfant (art. 310 CC) ; elles ne peuvent donc être ordonnées que lorsque l’enfant est maintenu dans son cadre de vie habituel ou lorsqu’il vit déjà hors de la communauté familiale (art. 307 al. 2 CC). Quant à la subsidiarité des mesures prévues à l’art. 307 CC par rapport aux curatelles de l’art. 308 CC, ce sont essentiellement les critères du degré de mise en danger et de la capacité à coopérer des père et mère qui guideront l’autorité dans le choix de la bonne mesure à prendre.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Dans l’exécution de sa mission préventive, l’autorité de protection de l’enfant jouit d’un large pouvoir d’appréciation quant au choix du mode d’intervention. Elle peut, selon le texte de la loi, en particulier rappeler les père et mère à leurs devoirs, donner des indications ou instructions relatives au soin, à l’éducation et à la formation, et désigner une personne ou un office qualifiés qui aura un droit de regard et d’information (al. 3) ; la formulation de la loi étant ouverte, la liste des mesures proposées n’est pas exhaustive (Choffat, Panorama sur les curatelles de protection du mineur et les mesures de protection moins incisives, Revue de l’avocat 9/2017, p. 378).</w:t>
      </w:r>
    </w:p>
    <w:p>
      <w:r>
        <w:rPr>
          <w:b/>
        </w:rPr>
        <w:t>E. 3.1.3</w:t>
      </w:r>
    </w:p>
    <w:p>
      <w:r>
        <w:t>Lorsque les circonstances l'exigent, l'autorité de protection de l’enfant nomme un curateur qui assiste les père et mère de ses conseils et de son appui dans la prise en charge de l'enfant (art. 308 al. 1 CC).</w:t>
      </w:r>
    </w:p>
    <w:p>
      <w:r>
        <w:t>- 16 - La mesure ne requiert pas le consentement des parents (TF 5A_476/2016 du 21 septembre 2016 consid. 5.2.2 in fine) ; il faut en revanche que les mesures de l’art. 307 CC ne suffisent pas et que l’intervention d’un conseiller « actif » apparaisse appropriée pour parer au danger constaté (Meier/Stettler, op. cit., n. 1703, p. 1110).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 elle a un droit de regard et peut recueillir des renseignements auprès des intéressés et des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 TF 5A_840/2010 du 21 mai</w:t>
      </w:r>
    </w:p>
    <w:p>
      <w:r>
        <w:t>- 17 - 2011 ; TF 5C.109/2002 du 11 juin 2002 ; Hegnauer, op. cit., nn. 27.19 et 27.19a, pp. 188 et 189). La curatelle de l'art. 308 al. 1 CC doit être ordonnée lorsque les circonstances l’exigent, c’est-à-dire lorsque, à défaut d’un tel appui, les parents ne peuvent faire face à leur tâche, sans toutefois que des mesures plus énergiques soient nécessaires (MCF Filiation, FF 1974 II 82 ss, ch. 323.42, p. 30). La mesure de surveillance s’exerce sur l’enfant et non sur le détenteur de l’autorité parentale (Meier/Stettler, op. cit., n. 1702, p. 1109 ; CCUR 7 septembre 2020/173 ; CTUT 13 janvier 2010/8).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Commentaire romand, Code civil I, Bâle 2010, n. 7 ad art. 308 CC, p. 1886). Le curateur assiste les père et mère de ses conseils et de son appui dans le soin de l'enfant. Il exercera sa mission par le dialogue, la médiation et l'incitation, tant à l'égard des parents que de l'enfant (Meier, ibid., nn. 8-9 ad art. 308 CC, p.1887).</w:t>
      </w:r>
    </w:p>
    <w:p>
      <w:r>
        <w:rPr>
          <w:b/>
        </w:rPr>
        <w:t>E. 3.2</w:t>
      </w:r>
    </w:p>
    <w:p>
      <w:r>
        <w:t>En l’espèce, il est relevé que la DGEJ a indiqué que S.________ était en retrait et très vite agacé (cf. rapport d’évaluation du 9 juillet 2020 de Q.________ et O.________). Son fonctionnement était inquiétant. En outre, la précarité de sa situation sociale avait également été mentionnée. M.________ était décrite, par l’équipe éducative de la crèche d’T.________, comme fuyante et ne répondant pas aux questions. Elle avait accusé une des éducatrices d’avoir tapé son fils, mais ne souhaitait pas en parler</w:t>
      </w:r>
    </w:p>
    <w:p>
      <w:r>
        <w:t>- 18 - directement avec la directrice de la garderie. Le mineur concerné avait été retiré de ladite garderie car sa mère ne voulait pas qu’il soit « dans le système ». T.________ avait dit qu’il avait peur de son père. Par ailleurs, la collaboration avec les parents avaient été extrêmement compliquée. Il ressort en effet du dossier qu’M.________ et S.________ n’ont pas saisi l’importance de l’intervention de la DGEJ et la nécessité de collaborer. En outre, quoi qu’en disent les recourants, les violences domestiques survenues le 17 septembre 2019 – auxquelles les enfants ont été exposés – constituent un épisode préoccupant. Malgré son engagement en ce sens, le couple n’a rencontré un conseiller conjugal qu’à une seule reprise. A cet égard, les recourants avaient déclaré à la DGEJ que ledit conseiller conjugal avait estimé que son aide n’était pas utile. Or, contacté par la DGEJ, P.________ a expliqué avoir insisté sur le fait qu’une thérapie conjugale semblait indiquée. Force est ainsi de constater que, contrairement à ce qu’ils soutiennent, les recourants sont dans le déni de leurs problèmes conjugaux, cachent des éléments aux intervenants et n’ont rien mis en place ensuite de l’épisode des violences domestiques pour éviter la reproduction du même genre d’événements. En automne 2020 (cf. rapport du 8 octobre 2020 de Q.________ et O.________), la DGEJ a fait savoir qu’elle avait été interpellée à la fois par la Police judiciaire de Lausanne et par B.________. M.________, S.________ et les deux enfants s’étaient réfugiés en Suède en raison d’hypothétiques menaces proférées contre S.________ et y avaient demandé l’asile. Toute la famille était finalement revenue en Suisse, avaient logé à l’hôtel à V.________ pour des raisons de sécurité. A l’audience du 20 octobre 2020, M.________ s’est présentée, mais non S.________. La mère n’a alors pas fourni d’explications claires sur le départ précipité en Suède – lequel semblait vouloir être définitif – ni sur les raisons pour lesquelles la famille s’était finalement établie à D.________. Force est de constater que ce qui précède est inquiétant. En effet, le départ précipité et apparemment sans réelles raisons pour la Suède témoigne de l’instabilité familiale dans laquelle évolue le mineur concerné.</w:t>
      </w:r>
    </w:p>
    <w:p>
      <w:r>
        <w:t>- 19 - Au demeurant, peu importe que les recourants adhèrent ou non à la mesure litigieuse, dès lors que c’est précisément la finalité des mesures de protection des art. 307 ss CC que de passer outre, cas échéant, le désaccord des parents par rapport à l’aide qui leur est proposée. Au vu ce qui précède, et contrairement à ce que soutiennent les recourants, la mesure querellée respecte le principe de proportionnalité. Le suivi et l’intervention d’un conseiller apparaît en l’état nécessaire – à plus forte raison compte tenu du changement du lieu de vie à D.________ de la famille – et une simple mesure de surveillance judiciaire ne serait pas suffisante, les recourants n’amenant par ailleurs aucun élément rassurant et concret à cet égard. En définitive, la justice de paix était légitimée à instituer la curatelle d’assistance éducative en faveur du mineur concerné. Le moyen est ainsi mal fondé.</w:t>
      </w:r>
    </w:p>
    <w:p>
      <w:r>
        <w:rPr>
          <w:b/>
        </w:rPr>
        <w:t>E. 4</w:t>
      </w:r>
    </w:p>
    <w:p>
      <w:r>
        <w:t>En conclusion, le recours, manifestement infondé, doit être rejeté. Au vu du sort de la cause, le recours était d’emblée dénué de chances de succès. Une personne raisonnable plaidant à ses propres frais aurait en effet renoncé à recourir. Partant, la requête d’assistance judiciaire des recourants doit être rejetée (art. 117 let. b CPC). Les frais judiciaires de deuxième instance sont laissés à la charge de l’Etat (art. 74a al. 4 TFJC [tarif du 28 septembre 2010 des frais judiciaires civils ; BLV 270.11.5]).</w:t>
      </w:r>
    </w:p>
    <w:p>
      <w:r>
        <w:t>- 20 - Par ces motifs, la Chambre des curatelles du Tribunal cantonal, statuant à huis clos, prononce : I. Le recours est rejeté. II. La décision est confirmée. III. La requête d’assistance judiciaire est rejetée. IV. Les frais judiciaires de deuxième instance sont laissés à la charge de l’Etat. V. L'arrêt est exécutoire. Le président : Le greffier : Du L'arrêt qui précède, dont la rédaction a été approuvée à huis clos, est notifié à : - Me Robert Ayrton (pour M.________ et S.________), - Mme Q.________, curatrice, Direction générale de l’enfance et de la jeunesse,</w:t>
      </w:r>
    </w:p>
    <w:p>
      <w:r>
        <w:t>- 21 - et communiqué à : - Mme la Juge de paix du district de Lausanne, - Autorité de protection de l’enfant et de l’adulte de Bienne,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