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LN19.038658 vom 26. Februar 2020</w:t>
      </w:r>
    </w:p>
    <w:p>
      <w:r>
        <w:t>VD Tribunal cantonal, 2020-02-26, FR</w:t>
      </w:r>
    </w:p>
    <w:p>
      <w:r>
        <w:rPr>
          <w:b/>
        </w:rPr>
        <w:t xml:space="preserve">Quelle: </w:t>
      </w:r>
      <w:r>
        <w:t>https://mcp.opencaselaw.ch/entscheid/vd_gerichte_LN19.038658</w:t>
      </w:r>
    </w:p>
    <w:p>
      <w:r>
        <w:t>FR: VD_GERICHTE LN19.038658 du 26 février 2020</w:t>
      </w:r>
    </w:p>
    <w:p>
      <w:r>
        <w:t>IT: VD_GERICHTE LN19.038658 del 26 febbraio 2020</w:t>
      </w:r>
    </w:p>
    <w:p>
      <w:pPr>
        <w:pStyle w:val="Heading2"/>
      </w:pPr>
      <w:r>
        <w:t>Erwägungen</w:t>
      </w:r>
    </w:p>
    <w:p>
      <w:r>
        <w:rPr>
          <w:b/>
        </w:rPr>
        <w:t>E. 1</w:t>
      </w:r>
    </w:p>
    <w:p>
      <w:r>
        <w:t>Selon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 la requête doit indiquer les passages contestés ou les modifications demandées (art. 334 al. 1 in fine CPC). Le but de la rectification est de permettre la correction des erreurs de rédaction ou des pures fautes de calcul dans le dispositif; de telles erreurs doivent résulter à l'évidence du texte de la décision (TF 5A 699/2018 du 13 septembre 2018 ; Schweizer, Commentaire romand, Code de procédure civile, Bâle 2019, 2e éd., n. 11 ad art. 334 CPC, p. 1591 ; CCUR 19 novembre 2019/185bis). Il en découle que la contradiction qui peut faire l’objet de l’interprétation doit résider dans des formulations formellement déficientes, mais l’interprétation ne doit pas servir à modifier matériellement la décision, à compléter ce qui a été omis ou à éliminer des contradictions logiques. Les erreurs matérielles doivent être contestées par les voies de recours usuelles (ATF 143 III 520 consid. 6.1 ; TF 5A_747/2016 du 31 août 2017 consid. 3.1 ; CCUR 22 septembre 2018/173).</w:t>
      </w:r>
    </w:p>
    <w:p>
      <w:r>
        <w:rPr>
          <w:b/>
        </w:rPr>
        <w:t>E. 2</w:t>
      </w:r>
    </w:p>
    <w:p>
      <w:r>
        <w:t>En l’espèce, c’est à dessein que la Chambre des curatelles n’a pas précisé les modalités du droit aux relations personnelles octroyé en faveur d’A.O.________. Comme il ressort en effet du considérant 4.4 de la décision querellée, la Chambre des curatelles a laissé cette prérogative au service en charge d’E.O.________ (art. 26 al. 2 RLProMin [Règlement du 5 avril 2017 d'application de la loi du 4 mai 2004 sur la protection des mineurs ; BLV 850.41.1]), celui-ci étant mieux à même, au vu des circonstances du cas d’espèce, d’évaluer un droit aux relations personnelles conforme à l’intérêt de l’enfant. Les motifs sont d’ailleurs explicites.</w:t>
      </w:r>
    </w:p>
    <w:p>
      <w:r>
        <w:t>- 5 - Dans la mesure où la requête d’A.O.________ tend à modifier matériellement la décision querellée et non à corriger une erreur de rédaction manifeste au sens de l’art. 334 CPC, celle-ci doit être rejetée. Cette requête sera en revanche transmise à l’autorité de protection pour toute suite utile quant à la fixation des modalités du droit de visite octroyé à A.O.________ en fonction de l’état actuel de la situation, et pour autant que de besoin.</w:t>
      </w:r>
    </w:p>
    <w:p>
      <w:r>
        <w:rPr>
          <w:b/>
        </w:rPr>
        <w:t>E. 3</w:t>
      </w:r>
    </w:p>
    <w:p>
      <w:r>
        <w:t>Le présent arrêt peut être rendu sans frais judiciaires de deuxième instance (art. 74a al. 4 TFJC [Tarif du 28 septembre 2010 des frais judiciaires civils ; BLV 270.11.5]). La requête d’assistance judiciaire formée par A.O.________ doit être rejetée dans la mesure où la requête en rectification était, au vu de ce qui précède, d’emblée dénuée de toute chance de succès (art. 117 let. b CPC). Par ces motifs, la Chambre des curatelles du Tribunal cantonal, statuant à huis clos, prononce : I. La requête en rectification déposée par A.O.________ est rejetée. II. La requête est transmise au Juge de paix du district du Jura- Nord vaudois pour toute suite utile. III. La requête d’assistance judiciaire est rejetée.</w:t>
      </w:r>
    </w:p>
    <w:p>
      <w:r>
        <w:t>- 6 - IV. L’arrêt, rendu sans frais judiciaires de deuxième instance, est exécutoire. Le président : La greffière : Du L'arrêt qui précède, dont la rédaction a été approuvée à huis clos, est notifié à : - Me Alexa Landert, avocat (pour A.O.________), - Me Yan Schumacher, avocat (pour U.________), - SCTP, à l’attention de Mmes [...] et [...], et communiqué à : - M. le Juge de paix du district du Jura-Nord vaudois, - M. le Premier président du Tribunal des mineurs, - M. le Premier procureur du Ministère public de l’arrondissement du Nord vaudois, - SPJ, à l’attention de M. [...], par l'envoi de photocopies.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