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LN19.025224 vom 7. September 2020</w:t>
      </w:r>
    </w:p>
    <w:p>
      <w:r>
        <w:t>VD Tribunal cantonal, 2020-09-07, FR</w:t>
      </w:r>
    </w:p>
    <w:p>
      <w:r>
        <w:rPr>
          <w:b/>
        </w:rPr>
        <w:t xml:space="preserve">Quelle: </w:t>
      </w:r>
      <w:r>
        <w:t>https://mcp.opencaselaw.ch/entscheid/vd_gerichte_LN19.025224</w:t>
      </w:r>
    </w:p>
    <w:p>
      <w:r>
        <w:t>FR: VD_GERICHTE LN19.025224 du 7 septembre 2020</w:t>
      </w:r>
    </w:p>
    <w:p>
      <w:r>
        <w:t>IT: VD_GERICHTE LN19.025224 del 7 settembre 2020</w:t>
      </w:r>
    </w:p>
    <w:p>
      <w:pPr>
        <w:pStyle w:val="Heading2"/>
      </w:pPr>
      <w:r>
        <w:t>Erwägungen</w:t>
      </w:r>
    </w:p>
    <w:p>
      <w:r>
        <w:rPr>
          <w:b/>
        </w:rPr>
        <w:t>E. 2.1</w:t>
      </w:r>
    </w:p>
    <w:p>
      <w:r>
        <w:t>La Chambre des curatelles dispose d'un pouvoir d'examen d'office et examine si la décision de première instance répond aux règles formelles imposées par la loi. La procédure devant l'autorité de protection est régie par les art. 443 ss CC. Aux termes de l'art. 314a al. 1 CC, l'enfant est entendu personnellement, de manière appropriée, par l'autorité de protection ou le tiers qui en a été chargé, à moins que son âge ou d'autres justes motifs ne s'y opposent.</w:t>
      </w:r>
    </w:p>
    <w:p>
      <w:r>
        <w:rPr>
          <w:b/>
        </w:rPr>
        <w:t>E. 2.2</w:t>
      </w:r>
    </w:p>
    <w:p>
      <w:r>
        <w:t>En l’espèce, les parties ont été auditionnées par le premier juge le 12 décembre 2019, soit avant l’ordonnance de mesures superprovisionnelles du 17 février 2020 qui a donné lieu à la décision querellée. Une audience avait été appointée le 26 mars 2020, mais en raison de la crise sanitaire, elle a été annulée et les parties ont donné leur accord pour poursuivre la procédure par écrit. Celles-ci ayant été entendues au moins à une reprise et ayant pu se déterminer par écrit, avec leur accord, leur droit d’être entendu a été respecté. Vu l’âge de l’enfant, son audition par le juge n’aurait pas été adéquate. Sa curatrice, aussi entendue et ayant pu se déterminer par écrit, s’est exprimée en son nom.</w:t>
      </w:r>
    </w:p>
    <w:p>
      <w:r>
        <w:rPr>
          <w:b/>
        </w:rPr>
        <w:t>E. 3.1</w:t>
      </w:r>
    </w:p>
    <w:p>
      <w:r>
        <w:t>La recourante fait valoir que la décision de mesures superprovisionnelles du 17 février 2020 reposait sur une base erronée, soit le rapport de la curatrice du 15 février 2020 dont les propos qu’elle rapportait n’étaient pas conformes à ce qu’avait réellement déclaré le Dr P.________ et qu’il n’y avait donc aucune urgence à transférer la garde de l’enfant. Elle soulève encore que l’ordonnance querellée ne fait que ratifier la décision du 17 février 2020, alors qu’il n’existe en réalité aucun motif pour changer le lieu de vie de l’enfant qui a toujours résidé auprès d’elle.</w:t>
      </w:r>
    </w:p>
    <w:p>
      <w:r>
        <w:t>- 33 - De plus, de l’avis de tous les intervenants, ses capacités parentales sont bonnes, la transmission entre elle et les éducatrices de la crèche se fait correctement et elle est capable de prendre en charge son fils.</w:t>
      </w:r>
    </w:p>
    <w:p>
      <w:r>
        <w:rPr>
          <w:b/>
        </w:rPr>
        <w:t>E. 3.2.1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Selon le nouveau droit entré en vigueur le 1er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Ill 617 consid. 3.2.2 ; ATF 128 III 9 consid. 4 ; Stettler, Le droit suisse de la filiation, Traité de droit privé suisse, Ill, tome II, 1, p. 247 ; Meier/Stettler, Droit de la filiation, 6e éd., Genève/Zurich/Bâle 2019, n. 576, pp. 398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w:t>
      </w:r>
    </w:p>
    <w:p>
      <w:r>
        <w:t>- 34 - des devoirs liés aux soins et à l'éducation courante (Meier/Stettler, op. cit., n. 580, p. 401 et n. 585, pp. 403 ss ; de Weck-lmmelé, Droit matrimonial, 2016, n. 195 ad art. 176 CC, CCUR 7 mai 2020/91). En présence d’un litige relatif à la garde d’un enfant, la règle fondamentale est l’intérêt de l’enfant.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moins similaires (ATF 136 I 178 consid. 5.3 et les réf. cit. ; TF 5A_105/2014 du 6 juin 2014 consid. 4.2.1 ; De Luze/Page/Stoudmann, Droit de la famille 2013, n. 2.2 ad art. 133 CC).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 ci ne révèlent pas une capacité éducative lacunaire du parent gardien et ne portent pas, par la suite, préjudice aux intérêts de cet enfant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(TF 5A_444/2008 du 14 août 2008 consid. 3.1).</w:t>
      </w:r>
    </w:p>
    <w:p>
      <w:r>
        <w:t>- 35 -</w:t>
      </w:r>
    </w:p>
    <w:p>
      <w:r>
        <w:rPr>
          <w:b/>
        </w:rPr>
        <w:t>E. 3.2.2</w:t>
      </w:r>
    </w:p>
    <w:p>
      <w:r>
        <w:t>L’enfant sous autorité parentale partage le domicile de ses père et mère ou, en l’absence de domicile commun des père et mère, le domicile de celui de ses parents qui détient la garde ; subsidiairement, son domicile est déterminé par le lieu de sa résidence (art. 25 al. 1 2e phr. CC).</w:t>
      </w:r>
    </w:p>
    <w:p>
      <w:r>
        <w:rPr>
          <w:b/>
        </w:rPr>
        <w:t>E. 3.3</w:t>
      </w:r>
    </w:p>
    <w:p>
      <w:r>
        <w:t>En l’espèce, comme relevé par la recourante, on peut s’interroger sur le décalage entre les supposées déclarations faites par le Dr P.________ et rapportées par la curatrice ad hoc dans son rapport du 15 février 2020 et les clarifications que ce dernier a faites par la suite. Néanmoins, l’ordonnance querellée n’est pas fondée sur cet élément mais le fait que depuis plusieurs années tous les intervenants s’accordent à dire que N.N.________, même si elle a des compétences parentales, adopte un comportement délétère pour le bien de l’enfant en se montrant extrêmement méfiante vis-à-vis du père, en créant sa propre réalité des faits, en refusant de chercher un emploi pour se consacrer pleinement à la procédure judiciaire et en ne collaborant pas avec les personnes investies dans la prise en charge de son enfant. En l’état, la recourante est incapable de favoriser les liens père-fils et se montre menaçante envers toutes les personnes qui pourraient le faire, les accusant d’être partiaux, soit en faveur de J.________. Son mode de pensée est totalement rigide, elle adopte la théorie du complot, elle n’a aucune capacité de remise en question et son attitude n’a aucunement évolué malgré tous les rapports au dossier qui la mettent face à la réalité de son comportement. Elle continue d’ailleurs à maintenir auprès des divers intervenants que le père a l’interdiction de se rendre à la crèche, alors même que cet élément est totalement faux. A l’inverse, les intervenants estiment que le père, outre sa capacité à prendre en charge A.N.________, se montre ouvert à tout mettre en œuvre pour le bien-être de son fils et pour faire en sorte que le droit de visite de la mère s’exerce dans les meilleures conditions. Il ressort en outre des rapports versés au dossier que l’enfant est heureux à [...] auprès de son père et que ses intérêts y sont garantis. Force est donc de constater que J.________ est, à l’heure actuelle, le seul parent en mesure de garantir que le lien avec l’autre parent ne soit pas mis à mal et de préserver le bien-être de l’enfant. Ainsi, au stade des mesures</w:t>
      </w:r>
    </w:p>
    <w:p>
      <w:r>
        <w:t>- 36 - provisionnelles, l’ordonnance de la première juge ne peut être que confirmée.</w:t>
      </w:r>
    </w:p>
    <w:p>
      <w:r>
        <w:rPr>
          <w:b/>
        </w:rPr>
        <w:t>E. 4</w:t>
      </w:r>
    </w:p>
    <w:p>
      <w:r>
        <w:t>Le SPJ, dans ses déterminations du 21 juillet 2020, se questionne sur le mandat de surveillance qui lui a été confié, d’une part parce que l’enfant habite désormais en France et d’autre part parce que le premier juge l’a chargé de certaines tâches alors qu’il a transmis la cause au Président du Tribunal civil de l’arrondissement de Lausanne pour la suite de la procédure. S’agissant du transfert du dossier au Président du Tribunal civil de l’arrondissement, cela ne pose pas de problème particulier dans la mesure où le mandat de surveillance peut également être transféré. La problématique réside essentiellement dans le fait que l’enfant habite désormais à [...], de sorte qu’il est attendu de l’autorité de protection qu’elle examine à brève échéance et en fonction des mesures éventuellement prises en France si un tel mandat doit ou peut être maintenu.</w:t>
      </w:r>
    </w:p>
    <w:p>
      <w:r>
        <w:rPr>
          <w:b/>
        </w:rPr>
        <w:t>E. 5</w:t>
      </w:r>
    </w:p>
    <w:p>
      <w:r>
        <w:t>En conclusion, le recours doit être rejeté et l’ordonnance entreprise confirmée. Les conditions de l’art. 117 CPC n’étant pas réunies au vu de l’issue du recours, la requête d’assistance judiciaire de N.N.________ doit être rejetée. Dans la mesure où J.________ a été interpellé pour se déterminer sur la requête d’effet suspensif déposée par la recourante, celui-ci a droit à des dépens, qui seront arrêtés à 800 fr. (art. 9 al. 2 TDC [tarif des dépens en matière civile du 23 novembre 2010 ; BLV 270.11.6]) et mis à la charge de la recourante.</w:t>
      </w:r>
    </w:p>
    <w:p>
      <w:r>
        <w:t>- 37 - Egalement interpellée pour se déterminer sur la requête d’effet suspensif déposée par la recourante, Me Micaela Vaerini a droit à une indemnité d’office pour le travail effectué. Toutefois, conformément à l’art. 3 al. 1 RCur (règlement sur la rémunération des curateurs du 18 décembre 2012 ; BLV 211.255.2), la curatrice sera rémunérée par l’autorité de protection qui l’a nommée. Les frais judiciaires de deuxième instance, arrêtés à 1’200 fr., soit 600 fr. pour la décision au fond et 600 fr. pour les trois décisions sur effet suspensif (art. 74a al. 1 TFJC [tarif du 28 septembre 2010 des frais judiciaires civils ; BLV 270.11.5]), doivent être mis à la charge de la recourante qui succombe (art. 106 al. 1 CPC, applicable par renvoi de l’art. 450f CC). Par ces motifs, la Chambre des curatelles du Tribunal cantonal, statuant à huis clos, prononce : I. Le recours est rejeté. II. L’ordonnance est confirmée. III. La requête d’assistance judiciaire est rejetée. IV. Les frais judiciaires de deuxième instance, arrêtés à 1’200 fr. (mille deux cents francs), sont mis à la charge de la recourante N.N.________. V. La recourante N.N.________ versera à l’intimé J.________ la somme de 800 fr. (huit cents francs) à titre de dépens.</w:t>
      </w:r>
    </w:p>
    <w:p>
      <w:r>
        <w:t>- 38 - VI. L'arrêt est exécutoire. Le président : La greffière : Du L'arrêt qui précède, dont la rédaction a été approuvée à huis clos, est notifié à : - Me Matthieu Genillod, avocat (pour N.N.________), - Me Sylvie Saint-Marc, avocate (pour J.________), - Me Micaela Vaerini, curatrice ad hoc de représentation (pour A.N.________), - SPJ, ORPM Centre, et communiqué à : - Mme la Juge de paix du district de Lausanne, - Tribunal civil de l’arrondissement de Lausanne, - SPJ, unité d’appui juridique. par l'envoi de photocopies.</w:t>
      </w:r>
    </w:p>
    <w:p>
      <w:r>
        <w:t>- 39 -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