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LN18.048946 vom 7. September 2020</w:t>
      </w:r>
    </w:p>
    <w:p>
      <w:r>
        <w:t>VD Tribunal cantonal, 2020-09-07, FR</w:t>
      </w:r>
    </w:p>
    <w:p>
      <w:r>
        <w:rPr>
          <w:b/>
        </w:rPr>
        <w:t xml:space="preserve">Quelle: </w:t>
      </w:r>
      <w:r>
        <w:t>https://mcp.opencaselaw.ch/entscheid/vd_gerichte_LN18.048946</w:t>
      </w:r>
    </w:p>
    <w:p>
      <w:r>
        <w:t>FR: VD_GERICHTE LN18.048946 du 7 septembre 2020</w:t>
      </w:r>
    </w:p>
    <w:p>
      <w:r>
        <w:t>IT: VD_GERICHTE LN18.048946 del 7 settembre 2020</w:t>
      </w:r>
    </w:p>
    <w:p>
      <w:pPr>
        <w:pStyle w:val="Heading2"/>
      </w:pPr>
      <w:r>
        <w:t>Erwägungen</w:t>
      </w:r>
    </w:p>
    <w:p>
      <w:r>
        <w:rPr>
          <w:b/>
        </w:rPr>
        <w:t>E. 1</w:t>
      </w:r>
    </w:p>
    <w:p>
      <w:r>
        <w:t>Le recours est dirigé contre une décision de la justice de paix instituant une surveillance éducative au sens de l’art. 307 CC.</w:t>
      </w:r>
    </w:p>
    <w:p>
      <w:r>
        <w:rPr>
          <w:b/>
        </w:rPr>
        <w:t>E. 1.1</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motivé et interjeté en temps utile par la mère des mineurs concernés, partie à la procédure, le présent recours est</w:t>
      </w:r>
    </w:p>
    <w:p>
      <w:r>
        <w:t>- 11 -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le père des enfants et le SPJ n’ont pas été invités à se déterminer.</w:t>
      </w:r>
    </w:p>
    <w:p>
      <w:r>
        <w:rPr>
          <w:b/>
        </w:rPr>
        <w:t>E. 2</w:t>
      </w:r>
    </w:p>
    <w:p>
      <w:r>
        <w:t>CC). Le recours doit être dûment motivé et interjeté par écrit (art. 450 al. 3 CC), les exigences de motivation ne devant cependant pas être trop élevées (Droese/Steck, Basler Kommentar, Zivilgesetzbuch I, Art. 1-456 CC, 6e éd., Bâle 2018, n. 42 ad art. 450 CC, p. 2825).</w:t>
      </w:r>
    </w:p>
    <w:p>
      <w:r>
        <w:t>- 10 -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w:t>
      </w:r>
    </w:p>
    <w:p>
      <w:r>
        <w:t>- 12 -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w:t>
      </w:r>
    </w:p>
    <w:p>
      <w:r>
        <w:rPr>
          <w:b/>
        </w:rPr>
        <w:t>E. 2.2.2</w:t>
      </w:r>
    </w:p>
    <w:p>
      <w:r>
        <w:t>En l’espèce, le juge de paix a procédé à l’audition de la mère des enfants lors de son audience du 19 mai 2020. Le père ne s’est pas présenté à cette audience. Il a toutefois été dûment cité à comparaître par avis du 4 mai 2020, de sorte que son droit d’être entendu a été respecté. C.N.________, alors âgé de neuf ans et demi, ainsi que A.N.________ et B.N.________, âgés de presque huit ans, n’ont pas été entendus par l’autorité de protection alors qu’ils auraient pu l’être compte tenu de leur âge (cf. TF 5A_354/2015 du 3 août 2015 consid. 3.3). Toutefois, vu la mesure instituée, à savoir la mesure de protection la moins incisive, et le fait que chacun des enfants pourra faire valoir son point de vue, le cas échéant, dans le cadre du suivi de le mesure, il se justifiait à ce stade de renoncer à les entendre.</w:t>
      </w:r>
    </w:p>
    <w:p>
      <w:r>
        <w:rPr>
          <w:b/>
        </w:rPr>
        <w:t>E. 2.3</w:t>
      </w:r>
    </w:p>
    <w:p>
      <w:r>
        <w:t>La décision entreprise est donc formellement correcte et peut être examinée sur le fond.</w:t>
      </w:r>
    </w:p>
    <w:p>
      <w:r>
        <w:rPr>
          <w:b/>
        </w:rPr>
        <w:t>E. 3.1</w:t>
      </w:r>
    </w:p>
    <w:p>
      <w:r>
        <w:t>La recourante conteste la mesure de surveillance éducative instituée. Elle fait valoir qu’il n’est pas établi qu’elle aurait maltraité son fils A.N.________ et qu’aucun nouvel élément alarmant ou inquiétant n’est survenu depuis le signalement du 14 novembre 2018. Elle relève qu’il ressort du rapport du SPJ du 24 février 2020 que A.N.________ a tendance à confondre la réalité avec l’imaginaire, qu’il exerce des mouvements de violence contre lui-même lorsqu’il se retrouve en situation de stress face à un nouvel apprentissage et que les bleus sur ses genoux que l’école a pu constater correspondent à un enfant qui joue à l’extérieur et fait du foot. La recourante soutient également que les difficultés scolaires évoquées</w:t>
      </w:r>
    </w:p>
    <w:p>
      <w:r>
        <w:t>- 13 - dans le signalement ou son absence de réaction face à celles-ci ne sauraient être interprétées comme des situations de mise en danger de l’enfant, qui nécessiteraient l’intervention de la justice de paix. Elle souligne que dans le rapport précité, le SPJ retient qu’elle collabore de manière adéquate avec le réseau scolaire dans le but de soutenir ses enfants, qu’elle se préoccupe des difficultés d’apprentissage de A.N.________ et s’est engagée à lui trouver un psychologue, qu’un bilan en logopédie aura lieu prochainement pour C.N.________ et que B.N.________ ne présente pas de difficulté scolaire. Elle affirme que le développement de ses enfants n’est aucunement menacé et que l’intervention du SPJ n’est pas nécessaire. Elle déclare que l’école est suffisamment à même d’évaluer la situation scolaire des enfants et de prendre cas échéant les mesures adéquates en concertation avec elle.</w:t>
      </w:r>
    </w:p>
    <w:p>
      <w:r>
        <w:rPr>
          <w:b/>
        </w:rPr>
        <w:t>E. 3.2.1</w:t>
      </w:r>
    </w:p>
    <w:p>
      <w:r>
        <w:t>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6e éd., Genève/Zurich/Bâle 2019, n. 1681, p. 1095 ; Kühnlein, Les droits fondamentaux et le principe de subsidiarité en protection de l’adulte et de l’enfant, RMA 2/2019, p. 102). Le catalogue des mesures de protection de l’enfant se trouve principalement aux art. 307-312 CC ; la curatelle de l’art. 306 al. 2 CC</w:t>
      </w:r>
    </w:p>
    <w:p>
      <w:r>
        <w:t>- 14 - relève également de la protection matérielle de l’enfant (Guide pratique COPMA 2017, n. 2.13, p. 36 et n. 2.18, p. 37 ; Kühnlein, op. cit., p. 107).</w:t>
      </w:r>
    </w:p>
    <w:p>
      <w:r>
        <w:rPr>
          <w:b/>
        </w:rPr>
        <w:t>E. 3.2.2</w:t>
      </w:r>
    </w:p>
    <w:p>
      <w:r>
        <w:t>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instructions relatives au soin, à l’éducation et à la formation, et désigner une personne ou un office qualifiés qui aura un droit de regard et d’information (art. 307 al. 3) ; la formulation de la loi étant ouverte, la liste des mesures proposées n’est pas exhaustive (Choffat, Panorama sur les curatelles de protection du</w:t>
      </w:r>
    </w:p>
    <w:p>
      <w:r>
        <w:t>- 15 - mineur et les mesures de protection moins incisives, Revue de l’avocat 9/2017, p. 378).</w:t>
      </w:r>
    </w:p>
    <w:p>
      <w:r>
        <w:rPr>
          <w:b/>
        </w:rPr>
        <w:t>E. 3.2.3</w:t>
      </w:r>
    </w:p>
    <w:p>
      <w:r>
        <w:t>Lorsque les circonstances l’exigent, l’autorité de protection nomme un curateur qui assiste les père et mère de ses conseils et de son appui dans la prise en charge de l’enfant (art. 308 al. 1 CC). Selon le Message, la curatelle doit être ordonnée lorsque les circonstances l’exigent, c’est-à-dire lorsque, à défaut d’un tel appui, les parents ne peuvent faire face à leur tâche, sans toutefois que des mesures plus énergiques soient nécessaires (MCF Filiation, FF 1974 II p. 83). La mesure ne requiert pas le consentement des parents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w:t>
      </w:r>
    </w:p>
    <w:p>
      <w:r>
        <w:t>- 16 -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5A_732/2014 du 26 février 2015 ; TF 5A_840/2010 du 21 mai 2011 ; TF 5C.109/2002 du 11 juin 2002 ; Hegnauer, op. cit., nn. 27.19 et 27.19a, pp. 188 et 189). La curatelle de l'art. 308 al. 1 CC doit être ordonnée lorsque, à défaut d'un tel appui, les parents ne peuvent faire face à leur tâche, sans toutefois que des mesures plus énergiques soient nécessaires (MCF Filiation, FF 1974 II 82 ss, ch. 323.42, p. 30). La mesure de surveillance s’exerce sur l’enfant et non sur le détenteur de l’autorité parentale (Meier/Stettler, op. cit., n. 1702, p. 1109 ; CTUT 13 janvier 2010/8).</w:t>
      </w:r>
    </w:p>
    <w:p>
      <w:r>
        <w:rPr>
          <w:b/>
        </w:rPr>
        <w:t>E. 3.3</w:t>
      </w:r>
    </w:p>
    <w:p>
      <w:r>
        <w:t>En l’espèce, il sied au préalable de relever que la mesure de protection instituée en faveur des enfants est la moins incisive de tout le panel de mesures prévues dans le Code civil et qu’au regard des principes développés ci-dessus (consid. 3.2), elle consiste uniquement à confier au SPJ un droit de regard et d’information, pas même le droit de donner des instructions à la recourante. Il s’agit ainsi pour le service désigné de s’enquérir régulièrement de la situation des enfants auprès du réseau, de rencontrer ces derniers dans leur milieu et de faire rapport à l’autorité de protection, sans pouvoir interférer, à ce stade, dans les décisions prises par la mère et qui relèvent des prérogatives du détenteur de l’autorité parentale. Il convient d’examiner si les éléments révélés par l’enquête permettent de considérer que cette mesure est nécessaire. A cet égard, on constate que la recourante a une lecture partiale du rapport du SPJ et qu’elle se positionne en victime, plaidant essentiellement que l’autorité de protection ne devrait pas intervenir tant que la situation de maltraitance n’est pas établie. Or, le travail de cette autorité n’est pas celui des autorités de poursuite pénale et peu importe que le ministère public ait</w:t>
      </w:r>
    </w:p>
    <w:p>
      <w:r>
        <w:t>- 17 - rendu une ordonnance de non-entrée en matière s’agissant des faits reprochés à la mère. L’autorité de protection doit en effet mettre en lien l’ensemble des éléments du dossier pour examiner s’il y en a qui laissent à penser que les enfants ne sont pas suffisamment protégés dans leur développement. Dans le cas particulier, les professionnels ont relevé une dynamique parfois « vive » entre les enfants et des difficultés d’apprentissage dans un contexte de conflit conjugal, le père ayant déclaré vouloir se tenir éloigné des enfants et ne souhaitant pas être une ressource pour eux. S’agissant des hématomes constatés sur A.N.________ et des explications contradictoires données par celui-ci, qui sont à l’origine du signalement, les propos de la pédiatre S.________ sont rassurants et il n’y a pas eu de faits nouveaux. Il ne s’agit toutefois pas d’événements isolés. En effet, il ressort des notes de l’infirmière scolaire D.________, annexées au signalement, que dès 2017, A.N.________ a donné différentes versions explicatives s’agissant de ses lésions, ce qui n’est pas de nature à rassurer. En outre, les parents ne se montrent pas collaborants avec les intervenants, se refusant par exemple à poursuivre l’intervention de l’ISMV et la mère n’acceptant pas que le SPJ puisse discuter avec les enfants dans le cadre de l’enquête. Le seul fait que B.N.________ n’ait pas de difficultés scolaires n’est pas de nature à rassurer pleinement sur les conditions de vie des enfants. Enfin, contrairement à ce que soutient la recourante, ce n’est pas parce que l’école a signalé la situation une première fois qu’elle est en mesure d’évaluer celle-ci et de prendre des mesures. Son devoir de signalement (art. 27 al. 2 LProMin et 34 al. 3 LVPAE) ne lui permet pas d’obtenir des informations auprès du réseau et de faire rapport à l’autorité de protection. Au demeurant, si la direction de l’école et le corps enseignant veulent pouvoir travailler en bonne collaboration avec la mère, ce qui semble être le cas actuellement, dans l’intérêt bien compris des enfants, il semble inopportun de lui laisser l’entière responsabilité de l’évaluation de la situation, ce qui n’est du reste pas son rôle. Ce n’est que par un regard croisé et pluridisciplinaire que l’on pourra s’assurer que l’ensemble de la fratrie évolue positivement et que la recourante tient ses engagements par rapport au suivi psychologique de A.N.________, ce qui nécessite que le SPJ se voit confier à tout le moins une</w:t>
      </w:r>
    </w:p>
    <w:p>
      <w:r>
        <w:t>- 18 - tâche de surveillant pour accéder aux informations essentielles et faire rapport à l’autorité de protection.</w:t>
      </w:r>
    </w:p>
    <w:p>
      <w:r>
        <w:rPr>
          <w:b/>
        </w:rPr>
        <w:t>E. 4</w:t>
      </w:r>
    </w:p>
    <w:p>
      <w:r>
        <w:t>En conclusion, le recours doit être rejeté et la décision entreprise confirmée. Au vu du sort de la cause, le recours était d'emblée dénué de chances de succès, de sorte que la requête d'assistance judiciaire de la recourante doit être rejetée (art. 117 let. b CPC). Les frais judiciaires de deuxième instance, arrêtés à 300 fr. (art. 74a al. 1 TFJC [Tarif du 28 septembre 2010 des frais judiciaires civils ; BLV 270.11.5]), sont mis à la charge de la recourante, qui succombe (art. 106 al. 1 CPC, applicable par renvoi de l’art. 450f CC). Par ces motifs, la Chambre des curatelles du Tribunal cantonal, statuant à huis clos, prononce : I. Le recours est rejeté. II. La décision est confirmée. III. La requête d’assistance judiciaire est rejetée. IV. Les frais judiciaires de deuxième instance, arrêtés à 300 fr. (trois cents francs), sont mis à la charge de la recourante O.________.</w:t>
      </w:r>
    </w:p>
    <w:p>
      <w:r>
        <w:t>- 19 - V. L'arrêt est exécutoire. Le président : La greffière : Du L'arrêt qui précède, dont la rédaction a été approuvée à huis clos, est notifié à : - Me Jean-Lou Maury (pour O.________), - M. D.N.________, - Direction générale de l’enfance et de la jeunesse, ORPM du Centre, et communiqué à : - M. le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