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LN17.026405 vom 2. November 2018</w:t>
      </w:r>
    </w:p>
    <w:p>
      <w:r>
        <w:t>VD Tribunal cantonal, 2018-11-02, FR</w:t>
      </w:r>
    </w:p>
    <w:p>
      <w:r>
        <w:rPr>
          <w:b/>
        </w:rPr>
        <w:t xml:space="preserve">Quelle: </w:t>
      </w:r>
      <w:r>
        <w:t>https://mcp.opencaselaw.ch/entscheid/vd_gerichte_LN17.026405</w:t>
      </w:r>
    </w:p>
    <w:p>
      <w:r>
        <w:t>FR: VD_GERICHTE LN17.026405 du 2 novembre 2018</w:t>
      </w:r>
    </w:p>
    <w:p>
      <w:r>
        <w:t>IT: VD_GERICHTE LN17.026405 del 2 novembre 2018</w:t>
      </w:r>
    </w:p>
    <w:p>
      <w:pPr>
        <w:pStyle w:val="Heading2"/>
      </w:pPr>
      <w:r>
        <w:t>Erwägungen</w:t>
      </w:r>
    </w:p>
    <w:p>
      <w:r>
        <w:rPr>
          <w:b/>
        </w:rPr>
        <w:t>E. 1</w:t>
      </w:r>
    </w:p>
    <w:p>
      <w:r>
        <w:t>Le recours est dirigé contre une ordonnance de mesures provisionnelles du juge de paix confirmant notamment le retrait provisoire du droit de déterminer le lieu de résidence d’une mère sur ses enfants mineurs (art. 310 CC).</w:t>
      </w:r>
    </w:p>
    <w:p>
      <w:r>
        <w:rPr>
          <w:b/>
        </w:rPr>
        <w:t>E. 1.1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w:t>
      </w:r>
    </w:p>
    <w:p>
      <w:r>
        <w:t>- 13 -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mère des mineurs concernés, partie à la procédure, le présent recours est recevable. Il en va de même des pièces produites en deuxième instance, si tant est qu’elles ne figurent pas déjà au dossier.</w:t>
      </w:r>
    </w:p>
    <w:p>
      <w:r>
        <w:t>- 14 - Le recours étant manifestement mal fondé, au vu des considérations qui seront développées ci-après, il a été renoncé à consulter l'autorité de protection et ni le père des enfants ni le SPJ n’ont été invités à se déterminer (art. 312 al. 1 CPC, applicable par renvoi de l'art. 450f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En l’espèce, le juge de paix a procédé à l’audition des parents des enfants lors de son audience du 5 juillet 2018, de sorte que leur droit d’être entendu a été respecté.</w:t>
      </w:r>
    </w:p>
    <w:p>
      <w:r>
        <w:t>- 15 - A.A.________ et E.A.________, âgés de respectivement trois ans et seize mois, étaient trop jeunes pour être entendus. L’ordonnance entreprise est donc formellement correcte et peut être examinée sur le fond.</w:t>
      </w:r>
    </w:p>
    <w:p>
      <w:r>
        <w:rPr>
          <w:b/>
        </w:rPr>
        <w:t>E. 3</w:t>
      </w:r>
    </w:p>
    <w:p>
      <w:r>
        <w:t>La recourante affirme que le placement de ses enfants A.A.________ et E.A.________ ne se justifie plus.</w:t>
      </w:r>
    </w:p>
    <w:p>
      <w:r>
        <w:rPr>
          <w:b/>
        </w:rPr>
        <w:t>E. 3.1.1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Selon le nouveau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w:t>
      </w:r>
    </w:p>
    <w:p>
      <w:r>
        <w:t>- 16 -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et n. 466, p. 311 ; Schwenzer/Cottier, Basler Kommentar, op. cit., n. 4 ad art. 298 CC, p. 1634 ; de Weck-lmmelé, Droit matrimonial, 2016, n. 195 ad art. 176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w:t>
      </w:r>
    </w:p>
    <w:p>
      <w:r>
        <w:t>- 17 -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w:t>
      </w:r>
    </w:p>
    <w:p>
      <w:r>
        <w:t>- 18 - sans pertinence que les parents n'aient pas commis de faute (TF 5A_140/2008 du 9 juillet 2008 consid. 3.1 ; TF 5C.117/2002 du 1er juillet 2002 consid. 3 ; sur le tout : TF 5A_993/2016 du 19 juin 2017 consid. 4.2.2).</w:t>
      </w:r>
    </w:p>
    <w:p>
      <w:r>
        <w:rPr>
          <w:b/>
        </w:rPr>
        <w:t>E. 3.1.2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CCUR 13 février 2014/30 et les références citées).</w:t>
      </w:r>
    </w:p>
    <w:p>
      <w:r>
        <w:rPr>
          <w:b/>
        </w:rPr>
        <w:t>E. 3.2.1</w:t>
      </w:r>
    </w:p>
    <w:p>
      <w:r>
        <w:t>La recourante affirme que les conditions pour un retrait du droit de déterminer le lieu de résidence ne sont pas remplies. Elle soutient que le développement d’A.A.________ et d’E.A.________ est bon et qu’il n’existe pas de menace sérieuse pour leur développement qui justifie le placement, si ce n’est une confusion avec la situation de son fils aîné C.________. Elle relève que l’ordonnance attaquée n’explicite pas quelle serait la mise en danger sérieuse et concrète que ses enfants cadets pourraient subir, faisant uniquement référence à l’appréciation du SPJ, laquelle ne repose pas sur des éléments objectifs. L'ordonnance entreprise ne dit effectivement pas à quelle mise en danger de leur développement les enfants concernés sont exposés, qui justifie une mesure aussi radicale que le retrait du droit de déterminer le</w:t>
      </w:r>
    </w:p>
    <w:p>
      <w:r>
        <w:t>- 19 - lieu de résidence de l'art. 310 CC. Elle se limite à reproduire l'appréciation du SPJ, laquelle ne décrit pas non plus en quoi leur développement serait compromis. Or, 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122 IV 8). Toutefois, vu le libre pouvoir d'examen en fait et en droit de la Chambre de céans, une éventuelle violation du droit d’être entendu serait réparée en deuxième instance.</w:t>
      </w:r>
    </w:p>
    <w:p>
      <w:r>
        <w:rPr>
          <w:b/>
        </w:rPr>
        <w:t>E. 3.2.2</w:t>
      </w:r>
    </w:p>
    <w:p>
      <w:r>
        <w:t>La recourante se prévaut de certains éléments de différents rapports pour affirmer que le développement d’A.A.________ et d’E.A.________ est bon et qu’il l’était déjà avant leur placement. Elle invoque notamment les rapports du Centre de vie enfantine de [...], dont notamment celui du 31 janvier 2017, qui relève la vraisemblance d'un certain parti pris contre elle. Ces rapports font toutefois état d'appréciations trop anciennes pour être encore pertinentes. La recourante se réfère également à un courriel du 25 août 2017 de l’infirmière de la petite enfance à la fondation [...], à la « grille d’évaluation du développement de l’enfant » remplie par l’évaluatrice [...] le 11 avril 2018, ainsi qu’au rapport du SPJ du 26 février 2018. Or, la référence au contenu de ces documents est tronquée. En effet, si l’infirmière D.________ reconnait certes qu’E.A.________ se développe bien et que sa mère s’occupe bien d’elle, elle constate toutefois que G.________ a beaucoup de peine à mettre un cadre et à être cohérente dans l’éducation de ses enfants plus grands, n’allant pas au bout de ses demandes et fonctionnant au chantage et à la menace, et a peu de gestes</w:t>
      </w:r>
    </w:p>
    <w:p>
      <w:r>
        <w:t>- 20 - d’affection à leur égard. Quant à la « grille d’évaluation du développement de l’enfant », elle indique effectivement que les échelles cognitive et langagière, motrice et socio-affective concernant A.A.________ sont adéquates. Elle mentionne cependant que l’attachement est assez indifférencié, que l’échelle socio-affective est celle qui obtient le plus bas résultat et qu’il faut éventuellement travailler les liens et l’expression des émotions. Enfin, dans son rapport du 26 février 2018, le SPJ, tout en relevant qu’E.A.________ est une petite fille qui se développe bien et qu’A.A.________ est un petit garçon vif et curieux qui ne pose aucun problème, déclare que leur situation familiale est complexe et qu’elle suscite de nombreuses interrogations depuis plusieurs années. Il ajoute que si les compétences maternelles en termes de prise en charge des besoins de base (soins, suivis médicaux) sont reconnues, il en va de même des difficultés maternelles à sécuriser ses enfants dans le lien et la relation. Il a du reste préconisé un placement à moyen terme pour protéger les enfants de l'instabilité et des difficultés de leurs parents et poursuivre avec eux le travail afin d’envisager un retour à domicile plus sereinement. La recourante invoque encore l’avis de la pédiatre d’A.A.________ et d’E.A.________, selon laquelle ces derniers vont bien, avec un bon développement. La Chambre de Céans ne dispose toutefois pas d’un document émanant de ce médecin, ses propos ressortant du rapport du SPJ du 26 février 2018, sans autre précision ni développement.</w:t>
      </w:r>
    </w:p>
    <w:p>
      <w:r>
        <w:rPr>
          <w:b/>
        </w:rPr>
        <w:t>E. 3.2.3</w:t>
      </w:r>
    </w:p>
    <w:p>
      <w:r>
        <w:t>La recourante fait valoir que tous les intervenants ont reconnu qu’elle participe aux démarches en lien avec ses enfants, qu’elle est en mesure de prendre soin d’eux avec diligence et que sa participation au réseau est bonne, sachant demander de l’aide en cas de besoin. Les éléments que la recourante met en évidence, soit essentiellement sa capacité à satisfaire les besoins de base de ses enfants, ne sont effectivement pas contestés, mais au contraire reconnus par le SPJ et l'ensemble des intervenants. Le problème se situe ailleurs. Il a</w:t>
      </w:r>
    </w:p>
    <w:p>
      <w:r>
        <w:t>- 21 - trait aux difficultés que rencontre G.________ au niveau éducatif et dans l'interaction émotionnelle avec ses enfants. En effet, il ressort du rapport du [...] d’août 2017 que la sécurité physique des enfants est mise en danger en raison du manque d’intervention directe de la mère lorsqu’ils s’éloignent ou font une activité potentiellement dangereuse (courir sur la route ou se pencher dans le vide), l’intéressée ne se déplaçant pas, mais se contentant de leur demander d’arrêter ou de revenir, estimant qu’il n’y a pas de problème et qu’ils savent ce qu’ils doivent faire. En outre, elle accompagne peu ses fils dans les gestes du quotidien, leur demandant de s’habiller seuls et leur répétant de se dépêcher sans leur venir en aide, car elle estime qu’ils sont en âge de devenir autonomes. Elle ne voit pas non plus l’intérêt de jouer avec eux, les câline ou les réconforte très peu et ne les valorise que rarement directement. Quant à E.A.________, durant les trois premières semaines qui ont suivi sa naissance, la recourante ne maintenait pas sa tête lorsqu’elle la portait et n’a pas modifié sa manière de faire après les remarques à ce sujet. Enfin et surtout, lors de situations conflictuelles, G.________ se coupe par le regard, mais également physiquement, en se rendant aux toilettes ou ailleurs dans la maison ou le jardin, sans en avertir ni ses enfants ni l’équipe éducative, revenant parfois une demi- heure plus tard. Elle semble démunie lorsqu’elle est en souci et ne parvient pas à établir ses priorités, au point de mettre de côté la sécurité de ses enfants. Lors de son audition du 5 juillet 2018, T.________ a confirmé que lorsqu’elle est mise en difficulté, la mère a de la peine à gérer la situation et se coupe de temps en temps de ses enfants, et parfois même totalement des intervenants du réseau. Elle a déclaré que la posture de G.________ met A.A.________ et E.A.________ en difficulté et peine à les sécuriser dans le lien à leur mère. Elle a préconisé la poursuite du placement, considérant qu’il s’agit de la meilleure solution pour garantir la sécurité des enfants et permettre aux parents d'évoluer après deux ans d’accompagnement au [...] et un suivi de l’[...] qui n'ont pas suffi.</w:t>
      </w:r>
    </w:p>
    <w:p>
      <w:r>
        <w:t>- 22 - De plus, selon la « grille d’évaluation du développement de l’enfant » du 11 avril 2018 et les déclarations de T.________ à l’audience du</w:t>
      </w:r>
    </w:p>
    <w:p>
      <w:r>
        <w:rPr>
          <w:b/>
        </w:rPr>
        <w:t>E. 3.2.4</w:t>
      </w:r>
    </w:p>
    <w:p>
      <w:r>
        <w:t>La recourante affirme encore que c'est l'opposition du père au changement de lieu de vie des enfants qui a causé le retrait du droit de</w:t>
      </w:r>
    </w:p>
    <w:p>
      <w:r>
        <w:t>- 23 - déterminer le lieu de résidence et qu'il y a donc lieu de priver ce dernier de ce droit, mais non elle-même. La mesure contestée est certes en partie due à l'attitude du père, mais pas uniquement. En effet, ainsi qu'on l'a vu, les difficultés personnelles de la mère sont également en cause dans la nécessité d'assurer la sécurité des enfants, nonobstant sa volonté de collaborer et son attitude positive relevée par les intervenants. Il sied ici de préciser qu'il s'agit de sécurité affective et éducative, la recourante étant mise en cause pour avoir de la peine à tenir le cadre, à offrir des réponses adéquates et à sécuriser le lien. 4. La recourante se plaint de l’organisation de son droit de visite. Elle soutient qu’il est inéquitable par rapport à celui octroyé au père, dès lors que celui-ci bénéficie d’une demi-journée hebdomadaire de plus. Elle demande également à pouvoir passer Noël et leurs anniversaires avec ses enfants. 4.1 Le droit vaudois prévoit que le SPJ peut être chargé par l’autorité judiciaire ou l’autorité de protection de l’enfant d’un mandat de placement et de garde, soit, selon la nouvelle terminologie, d’un mandat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[Règlement d’application de la loi du 4 mai 2004 sur la protection des mineurs ; RSV 850.41.1]). Dans cette mesure, c'est au SPJ, gardien, qu'il appartient de régler la problématique soulevée par la recourante, un recours à l'autorité judiciaire se concevant uniquement en cas de conflit avec ledit service sur ce point, ce qui ne ressort pas en l'état du dossier. Au demeurant,</w:t>
      </w:r>
    </w:p>
    <w:p>
      <w:r>
        <w:t>- 24 - T.________ a déclaré à l'audience du 5 juillet 2018 qu'il n'y avait aucun problème à ce que G.________ continue à organiser les anniversaires de ses enfants. Le recours apparaît par conséquent sans objet à cet égard. 4.2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 CCUR 8 juillet 2015/156). Il résulte au surplus de ce qui précède qu’il ne saurait y avoir de prétention à un traitement absolument identique de chaque parent, le droit de chacun d'eux étant fonction de l'intérêt des enfants aux relations personnelles, qui peut ainsi différer entre un parent et l'autre.</w:t>
      </w:r>
    </w:p>
    <w:p>
      <w:r>
        <w:rPr>
          <w:b/>
        </w:rPr>
        <w:t>E. 5</w:t>
      </w:r>
    </w:p>
    <w:p>
      <w:r>
        <w:t>juillet 2018, A.A.________ présente un attachement indifférencié, ce qui est anormal pour un enfant de cet âge, ainsi que des difficultés socio- affectives. Or, ces éléments objectivent la mise en danger dénoncée par le SPJ, qui a trait notamment à la difficulté de G.________ de sécuriser ses enfants au niveau émotionnel et affectif. Enfin, nonobstant la volonté de collaborer de la recourante et son attitude à cet égard, elle commence à peine à prendre conscience de ses difficultés et à reconnaître celles de ses enfants, de sorte que la poursuite du travail entrepris en foyer est nécessaire. Il résulte de ce qui précède que le retrait provisoire du droit de déterminer le lieu de résidence des enfants A.A.________ et E.A.________ est une mesure proportionnée et adéquate pour sauvegarder les intérêts de ces derniers et leur assurer la protection dont ils ont besoin. Une mesure moins incisive telle qu’une curatelle d'assistance éducative à forme de l’art. 308 al. 1 CC ne permettrait pas d’atteindre ce but. La décision du premier juge doit par conséquent être confirmée. Cela est d'autant plus justifié que la situation est provisoire, l’enquête devant se poursuivre. Le placement a débuté il y a peu et les enfants viennent de changer de lieu de vie, ce qui les a certainement perturbés. Comme le relève à juste titre le SPJ, il convient d’éviter de les fragiliser à nouveau avant d'avoir atteint une certaine stabilité dans leur prise en charge. Au demeurant, le travail avec les parents ne fait que commencer, ce que le SPJ a rappelé et qui est étayé par la référence à l'attitude de retrait complet de la recourante lorsqu'elle est confrontée à des difficultés avec ses enfants ou dans le cadre du réseau. La poursuite de l’enquête permettra d’adapter au besoin la mesure provisoire à l’évolution de la situation.</w:t>
      </w:r>
    </w:p>
    <w:p>
      <w:r>
        <w:rPr>
          <w:b/>
        </w:rPr>
        <w:t>E. 5.1</w:t>
      </w:r>
    </w:p>
    <w:p>
      <w:r>
        <w:t>En conclusion, le recours de G.________ doit être rejeté et l’ordonnance entreprise confirmée.</w:t>
      </w:r>
    </w:p>
    <w:p>
      <w:r>
        <w:rPr>
          <w:b/>
        </w:rPr>
        <w:t>E. 5.2.1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t>- 25 -</w:t>
      </w:r>
    </w:p>
    <w:p>
      <w:r>
        <w:rPr>
          <w:b/>
        </w:rPr>
        <w:t>E. 5.2.2</w:t>
      </w:r>
    </w:p>
    <w:p>
      <w:r>
        <w:t>G.________ a été mise au bénéfice de l’assistance judiciaire par ordonnance du 3 septembre 2018. Dans sa liste des opérations du</w:t>
      </w:r>
    </w:p>
    <w:p>
      <w:r>
        <w:rPr>
          <w:b/>
        </w:rPr>
        <w:t>E. 5.3</w:t>
      </w:r>
    </w:p>
    <w:p>
      <w:r>
        <w:t>Le présent arrêt peut être rendu sans frais judiciaires (art. 74a al. 4 TFJC [Tarif du 28 septembre 2010 des frais judiciaires civils ; RSV 270.11.5]). Il n’y a pas lieu d’allouer de dépens à I.A.________, qui n’a pas été invité à se déterminer. Par ces motifs, la Chambre des curatelles du Tribunal cantonal, statuant à huis clos, prononce : I. Le recours est rejeté. II. L’ordonnance est confirmée. III. L’indemnité d’office de Me Silvia Gutierrez, conseil de la recourante G.________, est arrêtée à 1'592 fr. (mille cinq cent nonante-deux francs), TVA et débours compris. IV. La bénéficiaire de l’assistance judiciaire est, dans la mesure de l’art. 123 CPC, tenue au remboursement de l’indemnité de son conseil d’office mise à la charge de l’Etat.</w:t>
      </w:r>
    </w:p>
    <w:p>
      <w:r>
        <w:t>- 27 - V. L’arrêt est rendu sans frais judiciaires de deuxième instance. VI. L'arrêt est exécutoire. Le président : La greffière : Du L'arrêt qui précède, dont la rédaction a été approuvée à huis clos, est notifié à : - Me Silvia Gutierrez (pour G.________), - Me Didier Kvicinsky (pour I.A.________), - Mme T.________, assistante sociale auprès du Service de protection de la jeunesse, et communiqué à : - M. le Juge de paix du district de Lausanne,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- 28 -</w:t>
      </w:r>
    </w:p>
    <w:p>
      <w:r>
        <w:rPr>
          <w:b/>
        </w:rPr>
        <w:t>E. 8</w:t>
      </w:r>
    </w:p>
    <w:p>
      <w:r>
        <w:t>octobre 2018, Me Silvia Gutierrez indique avoir consacré 10 heures et 6 minutes à l’exécution de son mandat, TVA en sus. Le temps retenu pour les trois entretiens téléphoniques avec la cliente, d’une heure, est toutefois excessif et doit être réduit à 30 minutes. En effet, le conseil précité a déjà consacré du temps à la recourante lors de l’entretien du 24 août 2018. En outre, ces conversations téléphoniques paraissent, en partie du moins, relever du soutien moral, pour lequel l'avocat d'office ne saurait être rétribué (TF 5D_4/2016 du 26 février 2016 consid. 4.3.3 ; TF 5P.462/2002 du 30 janvier 2003 ; JdT 2013 III 35). Le temps consacré au recours (5 heures 30), à l’analyse du dossier et à la possibilité de recourir (une heure), ainsi qu’à la recherche juridique (30 minutes), d’un total de 7 heures, apparaît également excessif. Compte tenu de la connaissance préalable du dossier et du besoin limité de recherches juridiques, le temps global nécessaire pour ces opérations doit être ramené à 5 heures et 30 minutes. Il s’ensuit que les opérations nécessaires à l’accomplissement du mandat de Me Silvia Gutierrez seront prises en compte à hauteur de 8 heures et 6 minutes au total. Compte tenu d’un tarif horaire de 180 fr. hors TVA (art. 2 al. 1 let. a RAJ [Règlement du 7 décembre 2010 sur l'assistance judiciaire en matière civile ; RSV 211.02.3]), l’indemnité d'office du conseil précité doit être fixée à 1’458 fr., à laquelle il convient d’ajouter la TVA à 7,7%, par 112 fr. 26, soit un total de 1’570 fr. 26. A titre de débours, l’avocate réclame la somme de 50 francs. Ce montant doit être ramené à 20 fr., correspondant aux frais de port estimés, auquel il convient d’ajouter la TVA à 7,7% (art. 2 al. 3 RAJ), par 1 fr. 54. En définitive, l’indemnité d'office de Me Silvia Gutierrez doit être arrêtée à 1'591 fr. 80 (1’458 fr. + 112 fr. 26 + 20 fr. + 1 fr. 54), montant arrondi à 1’592 fr., TVA et débours compris.</w:t>
      </w:r>
    </w:p>
    <w:p>
      <w:r>
        <w:t>- 26 - La bénéficiaire de l’assistance judiciaire est, dans la mesure de l’art. 123 CPC, tenue au remboursement de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