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L819.016457 vom 13. Oktober 2022</w:t>
      </w:r>
    </w:p>
    <w:p>
      <w:r>
        <w:t>VD Tribunal cantonal, 2022-10-13, FR</w:t>
      </w:r>
    </w:p>
    <w:p>
      <w:r>
        <w:rPr>
          <w:b/>
        </w:rPr>
        <w:t xml:space="preserve">Quelle: </w:t>
      </w:r>
      <w:r>
        <w:t>https://mcp.opencaselaw.ch/entscheid/vd_gerichte_L819.016457</w:t>
      </w:r>
    </w:p>
    <w:p>
      <w:r>
        <w:t>FR: VD_GERICHTE L819.016457 du 13 octobre 2022</w:t>
      </w:r>
    </w:p>
    <w:p>
      <w:r>
        <w:t>IT: VD_GERICHTE L819.016457 del 13 ottobre 2022</w:t>
      </w:r>
    </w:p>
    <w:p>
      <w:pPr>
        <w:pStyle w:val="Heading2"/>
      </w:pPr>
      <w:r>
        <w:t>Erwägungen</w:t>
      </w:r>
    </w:p>
    <w:p>
      <w:r>
        <w:rPr>
          <w:b/>
        </w:rPr>
        <w:t>E. 4.1</w:t>
      </w:r>
    </w:p>
    <w:p>
      <w:r>
        <w:t>En conclusion, le recours doit être rejeté et l’ordonnance attaquée confirmée.</w:t>
      </w:r>
    </w:p>
    <w:p>
      <w:r>
        <w:rPr>
          <w:b/>
        </w:rPr>
        <w:t>E. 4.2</w:t>
      </w:r>
    </w:p>
    <w:p>
      <w:r>
        <w:t>Les parties ont requis d’être mises au bénéfice de l’assistance judiciaire pour la procédure de recours.</w:t>
      </w:r>
    </w:p>
    <w:p>
      <w:r>
        <w:t>- 27 -</w:t>
      </w:r>
    </w:p>
    <w:p>
      <w:r>
        <w:rPr>
          <w:b/>
        </w:rPr>
        <w:t>E. 4.2.1</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w:t>
      </w:r>
    </w:p>
    <w:p>
      <w:r>
        <w:rPr>
          <w:b/>
        </w:rPr>
        <w:t>E. 4.2.2</w:t>
      </w:r>
    </w:p>
    <w:p>
      <w:r>
        <w:t>Quand bien même le recours est rejeté, on ne saurait soutenir que la cause était dénuée de chances de succès, ni que l’enjeu du procès ne revêtait pas d’importance. Les conditions précitées étant remplies, il y a lieu d’accorder au recourant le bénéfice de l’assistance judiciaire pour la procédure de recours avec effet au 14 juillet 2022 et de désigner Me Vincent Demierre en qualité de conseil d’office de celui-ci. En cette qualité, Me Vincent Demierre a droit à une rémunération équitable pour ses opérations et débours dans la procédure de recours. Interpellé, le conseil n’a pas produit de liste des opérations. Il convient donc de procéder à sa taxation d’office (cf. CCUR 9 mars 2015/61). Il résulte de l’examen du dossier que l’avocat a procédé à la rédaction d’un recours, que la motivation du recours et les conclusions de celui-ci tiennent sur 23 pages, reprenant toutefois les mêmes allégués que dans ses précédentes requêtes, qu’il a établi un bordereau de trois pièces et qu’il a rédigé un courrier. Compte tenu de la nature et des difficultés en fait et en droit de la cause, ainsi que des opérations précitées, une indemnité correspondant à 6 heures de travail d’avocat, au tarif horaire de 180 fr. (art. 2 al. 1 RAJ [règlement du 7 décembre 2010 sur l’assistance judiciaire en matière civile ; BLV 211.02.3]), soit 1'080 fr. (5h00 x 180 fr.) ainsi qu’un montant de 21 fr. 60 à titre de débours (art. 3 al. 2 RAJ), avec 84 fr. 80 de TVA en sus (art. 2 al. 3 RAJ ; art. 25 al. 1 LTVA [Loi fédérale du 12 juin 2009 régissant la taxe sur la valeur ajoutée ; RS 641.20]), doivent</w:t>
      </w:r>
    </w:p>
    <w:p>
      <w:r>
        <w:t>- 28 - lui être alloués. L’indemnité d’office due au conseil du recourant pour la procédure de recours doit ainsi être arrêtée à 1'186 fr. 40, débours et TVA compris.</w:t>
      </w:r>
    </w:p>
    <w:p>
      <w:r>
        <w:rPr>
          <w:b/>
        </w:rPr>
        <w:t>E. 4.2.3</w:t>
      </w:r>
    </w:p>
    <w:p>
      <w:r>
        <w:t>En application de l’art. 117 al. 1 CPC, il y a également lieu d’accorder à l’intimée le bénéfice de l’assistance judiciaire pour la procédure de recours et de désigner Me Yan Schumacher en qualité de conseil d’office. En cette qualité, Me Yan Schumacher a droit à une rémunération équitable pour ses opérations et débours. Dans sa liste des opérations du 26 septembre 2022, Me Yan Schumacher indique avoir consacré personnellement 4 heures et 41 minutes à la présente affaire et que son avocat-stagiaire y a consacré 2 heures et 31 minutes, soit un total de 7 heures et 12 minutes. Vu la nature du litige et les difficultés de la cause, cette durée est adéquate et peut être admise. Il s'ensuit qu’au tarif horaire de 180 fr. pour l’avocat breveté (art. 2 al. 1 let. a RAJ) et de 110 fr. pour son avocat-stagiaire (art. 2 al. 1 let. b RAJ), l’indemnité de Me Yan Schumacher doit être fixée à 1'230 fr. 20, soit 1'119 fr. 85 (843 [4h41 x 180 fr.] + 276 fr. 85 [2h31 x 110 fr.]) à titre d’honoraires, 22 fr. 40 (2% [art. 3bis al. 1 RAJ] x 1'119 fr. 85) de débours, et 87 fr. 95 (7.7 % x 1'142 fr. 25 [1'119 fr. 85 + 22 fr. 40]) de TVA sur le tout. Cette indemnité ne sera versée par l'Etat que si les dépens alloués à l’intimée (cf. consid. 4.4 infra) ne peuvent pas être perçus du recourant (art. 122 al. 2 CPC et 4 RAJ).</w:t>
      </w:r>
    </w:p>
    <w:p>
      <w:r>
        <w:rPr>
          <w:b/>
        </w:rPr>
        <w:t>E. 4.3</w:t>
      </w:r>
    </w:p>
    <w:p>
      <w:r>
        <w:t>Les frais judiciaires de deuxième instance, arrêtés à 800 fr., soit 600 fr. pour l’émolument forfaitaire de décision (art. 74a al. 1 TFJC [Tarif du 28 septembre 2010 des frais judiciaires civils ; BLV 270.11.5]) et 200 fr. pour l’ordonnance sur l’effet suspensif (art. 60 al. 1 TFJC appliqué par analogie en vertu de l’art. 7 al. 1 TFJC), sont mis à la charge du recourant, qui succombe (art. 106 al. 1 CPC, applicable par renvoi des art. 450f CC et 12 al. 1 LVPAE). Ces frais seront provisoirement laissés à la</w:t>
      </w:r>
    </w:p>
    <w:p>
      <w:r>
        <w:t>- 29 - charge de l’Etat, compte tenu de l’assistance judiciaire (art. 122 al. 1 let. b CPC et consid. 4.5 infra)</w:t>
      </w:r>
    </w:p>
    <w:p>
      <w:r>
        <w:rPr>
          <w:b/>
        </w:rPr>
        <w:t>E. 4.4</w:t>
      </w:r>
    </w:p>
    <w:p>
      <w:r>
        <w:t>L’intimée, qui obtient gain de cause et qui a procédé par l'intermédiaire d'un mandataire professionnel, a droit à des dépens destinés à couvrir les honoraires et les débours de son conseil, qu'il convient d'arrêter à 1'500 fr. (art. 3 al. 4, 9 al. 1 et 19 TDC [tarif des dépens en matière civile du 23 novembre 2010 ; BLV 270.11.6]) et de mettre à la charge du recourant, qui succombe (cf. art. 106 al. 1 CPC ; TF 5A_537/2012 du 20 septembre 2012 consid. 7 ; TF 5A_550/2012 du 10 septembre 2012 consid. 5.2), l’octroi de l’assistance judiciaire n’impliquant pas libération de la charge des dépens (art. 118 al. 3 CPC ; TF 5A_121/2018 du 23 mai 2018 consid. 11).</w:t>
      </w:r>
    </w:p>
    <w:p>
      <w:r>
        <w:rPr>
          <w:b/>
        </w:rPr>
        <w:t>E. 4.5</w:t>
      </w:r>
    </w:p>
    <w:p>
      <w:r>
        <w:t>Les bénéficiaires de l’assistance judiciaire sont, dans la mesure de l’art. 123 CPC, tenus au remboursement des frais judiciaires et des indemnités à leur conseil d’office respectif, laissés provisoirement à la charge de l’Etat.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recours est rejeté. II. L’ordonnance est confirmée.</w:t>
      </w:r>
    </w:p>
    <w:p>
      <w:r>
        <w:t>- 30 - III. La requête d’assistance judiciaire d’Y.________ est admise, Me Vincent Demierre étant désigné conseil d’office pour la procédure de recours. IV. L’indemnité d’office de Me Vincent Demierre, conseil du recourant Y.________, est arrêtée à 1'186 fr. 40 (mille cent huitante six francs et quarante centimes), débours et TVA compris. V. La requête d’assistance judiciaire d’A.A.________ est admise, Me Yan Schumacher étant désigné conseil d’office pour la procédure de recours. VI. L’indemnité d’office de Me Yan Schumacher, conseil de l’intimée A.A.________, est arrêtée à 1'230 fr. 20 (mille deux cent trente francs et vingt centimes), débours et TVA compris. VII. Les frais judiciaires de deuxième instance, arrêtés à 800 fr. (huit cents francs), sont mis à la charge du recourant Y.________ et provisoirement laissés à la charge de l’Etat. VIII. Le recourant Y.________ versera à l’intimée A.A.________ la somme de 1’500 fr. (mille cinq cents francs) à titre de dépens de deuxième instance. IX. Les bénéficiaires de l’assistance judiciaire Y.________ et A.A.________ sont, dans la mesure de l’art. 123 CPC, tenus au remboursement des frais judiciaires et des indemnités à leur conseil d’office respectif, laissés provisoirement à la charge de l’Etat, dès qu’ils seront en mesure de le faire.</w:t>
      </w:r>
    </w:p>
    <w:p>
      <w:r>
        <w:t>- 31 - X. L'arrêt est exécutoire. La présidente : La greffière : Du L'arrêt qui précède, dont la rédaction a été approuvée à huis clos, est notifié à : - Me Vincent Demierre, avocat (pour Y.________), - Me Yan Schumacher, avocat (pour A.A.________), - DGEJ, Office régional pour la protection des mineurs [...], à l’att. de Mme V.________, et communiqué à : - M. le Juge de paix du district du Nord vaudois, - DGEJ, Unité d’appui juridique, par l'envoi de photocopies.</w:t>
      </w:r>
    </w:p>
    <w:p>
      <w:r>
        <w:t>- 32 -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