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L818.019932 vom 14. September 2018</w:t>
      </w:r>
    </w:p>
    <w:p>
      <w:r>
        <w:t>VD Tribunal cantonal, 2018-09-14, FR</w:t>
      </w:r>
    </w:p>
    <w:p>
      <w:r>
        <w:rPr>
          <w:b/>
        </w:rPr>
        <w:t xml:space="preserve">Quelle: </w:t>
      </w:r>
      <w:r>
        <w:t>https://mcp.opencaselaw.ch/entscheid/vd_gerichte_L818.019932</w:t>
      </w:r>
    </w:p>
    <w:p>
      <w:r>
        <w:t>FR: VD_GERICHTE L818.019932 du 14 septembre 2018</w:t>
      </w:r>
    </w:p>
    <w:p>
      <w:r>
        <w:t>IT: VD_GERICHTE L818.019932 del 14 settembre 2018</w:t>
      </w:r>
    </w:p>
    <w:p>
      <w:pPr>
        <w:pStyle w:val="Heading2"/>
      </w:pPr>
      <w:r>
        <w:t>Erwägungen</w:t>
      </w:r>
    </w:p>
    <w:p>
      <w:r>
        <w:rPr>
          <w:b/>
        </w:rPr>
        <w:t>E. 4</w:t>
      </w:r>
    </w:p>
    <w:p>
      <w:r>
        <w:t>Le 8 mai 2018, la Centrale d’engagement de la police cantonale, alertée par un voisin qui entendait des cris d’enfant, est intervenue vers 21 heures au domicile de V.________. Sur place, la patrouille a retrouvé M.________ tout habillé dans la douche et a constaté que l’enfant avait de nombreux hématomes sur les bras et le cou. Après discussion, le père a reconnu avoir frappé à de nombreuses reprises son fils, qui « faisait du désordre avec ses jouets ». Au vu de la gravité de la situation et des lésions constatées, la police a conduit l’enfant à l’Hôpital d’ [...]. Par lettre du 9 mai 2018, le SPJ a rapporté à l’autorité de protection qu’il avait été informé le jour même par la Police de Sûreté de l’intervention de la Police de [...] au domicile de V.________ durant la nuit du 8 au 9 mai 2018, laquelle avait constaté qu’M.________ avait été victime de violences physiques de la part de son père, qui les reconnaissait mais les considérait comme des pratiques éducatives. Au vu de la gravité des lésions constatées, le SPJ requérait, par voie de mesures superprovisionnelles et provisionnelles, que le droit de V.________ de déterminer le lieu de résidence de son fils lui soit provisoirement retiré et qu’un mandat de garde et de placement au sens de l’art. 310 CC lui soit confié, afin de pouvoir procéder dans les meilleurs délais au placement de l’enfant au mieux de ses intérêts. Par ordonnance de mesures superprovisionnelles du 9 mai 2018, la juge de paix a retiré provisoirement à V.________ son droit de déterminer le lieu de résidence de son fils et a confié un mandat provisoire de placement et de garde au SPJ. Le jour même, M.________ a été placé au Foyer des [...], auprès duquel il avait déjà été accueilli durant l’été 2017. Par lettre à la justice de paix du 12 mai 2018, Sœur [...], religieuse auprès de [...], s’est déclarée attristée et bouleversée de la</w:t>
      </w:r>
    </w:p>
    <w:p>
      <w:r>
        <w:t>- 8 - tournure des événements survenus le 8 mai 2018. Elle n’avait jamais constaté de marques de coups sur les membres d’M.________ et témoignait du souci de V.________ de donner le meilleur à son fils. Elle soulignait le bienfaisant voisinage du couple [...], auprès de qui V.________ trouvait un soutien et une vraie famille, et estimait que l’enfant ne devait pas être séparé de son père, ni de son lieu de vie actuel. Egalement le 12 mai 2018, les époux [...] ont écrit à l’autorité de protection que V.________ habitait le studio attenant à leur villa, qu’ils s’étaient beaucoup occupés d’ [...] auquel ils s’étaient attachés et que leurs petites-filles jouaient régulièrement avec lui. Hébergeant chaque été depuis sept ans deux adolescentes biélorusses, ils demandaient à pouvoir prendre la responsabilité d’M.________, en accord avec son père, pour une période à déterminer. Par lettre du 14 mai 2018, les Drs [...] et [...], médecin chef et médecin assistante auprès de l’ [...], ont informé les infirmières du Centre EVAM de [...] qu’M.________ avait été amené à l’hôpital par la police le 8 mai 2018 et avait été hospitalisé dans leur service jusqu’au 9 mai 2018, date à laquelle l’enfant avait été placé en foyer, pour mise à l’abri dans le contexte d’une maltraitance (leur suspicion de maltraitance par le père avait été confirmée par communication téléphonique avec la police du 9 mai 2018). Les médecins répertoriaient de multiples lésions de formes variées, avec atteintes cutanées, sur le haut du corps, le dos, les fesses et la cuisse droite de l’enfant, dont une importante au niveau du biceps gauche ; le bilan radiologique ne montrait pas de fractures anciennes ni récentes et, selon le bilan sanguin effectué, la formule et la coagulation étaient dans la norme.</w:t>
      </w:r>
    </w:p>
    <w:p>
      <w:r>
        <w:rPr>
          <w:b/>
        </w:rPr>
        <w:t>E. 4.1</w:t>
      </w:r>
    </w:p>
    <w:p>
      <w:r>
        <w:t>Invoquant l’inopportunité de la décision, le recourant conteste le retrait provisoire de son droit de déterminer le lieu de résidence de son fils, faisant implicitement grief à l’autorité de protection, s’agissant selon</w:t>
      </w:r>
    </w:p>
    <w:p>
      <w:r>
        <w:t>- 13 - lui d’un acte de violence isolé à l’égard de celui-ci, d’avoir transgressé les principes de proportionnalité et de subsidiarité.</w:t>
      </w:r>
    </w:p>
    <w:p>
      <w:r>
        <w:rPr>
          <w:b/>
        </w:rPr>
        <w:t>E. 4.2.1</w:t>
      </w:r>
    </w:p>
    <w:p>
      <w:r>
        <w:t>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142 III 617 consid. 3.2.2 ; ATF 128 III 9 consid. 4 ; Stettler, Le droit suisse de la filiation, Traité de droit privé suisse, III, tome II, 1, p. 247 ; Meier/Stettler, Droit de la filiation, 5e éd., 2014, n. 462, 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désormais une composante à part entière de l’autorité parentale (cf. art. 301a al. 1 CC), et la notion de la garde a été maintenue dans le sens d’une garde de fait (Meier/Stettler, op. cit., nn. 21 et 465 ss, pp. 14 et 310 ss). Ces modifications sont d’ordre purement terminologique. La doctrine et la jurisprudence antérieures demeurent en conséquence pertinentes (CCUR 11 août 2014/177). Quoi qu’il en soit, l’établissement et les effets de la filiation sont soumis à la présente loi dès son entrée en vigueur (art. 12 al. 1 Tit. fin. CC).</w:t>
      </w:r>
    </w:p>
    <w:p>
      <w:r>
        <w:t>- 14 -</w:t>
      </w:r>
    </w:p>
    <w:p>
      <w:r>
        <w:rPr>
          <w:b/>
        </w:rPr>
        <w:t>E. 4.2.2</w:t>
      </w:r>
    </w:p>
    <w:p>
      <w:r>
        <w:t>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(Meier/Stettler, op. cit., n. 1296, pp. 851 ss ; Hegnauer, Droit suisse de la filiation et de la famille, 4e éd., Berne 1998, adaptation française par Meier, n. 27.36, p. 194). Le retrait n'a aucune incidence sur l'autorité parentale des père et mère qui sont seulement privés du droit de décider eux-mêmes du lieu de séjour de l'enfant. Le pouvoir de représentation du tiers chez qui l'enfant est placé dépend des circonstances concrètes du placement (ATF 128 III 9, JdT 2002 I 324).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(cf. Meier/Stettler, op. cit., n. 1297, pp. 851 ss ; Hegnauer, op. cit.,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w:t>
      </w:r>
    </w:p>
    <w:p>
      <w:r>
        <w:t>- 15 - 2010 consid. 4, publié in La pratique du droit de la famille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 ss). Le respect du principe de proportionnalité suppose que la mesure soit conforme au principe de l'adéquation et, partant, propre à atteindre le but recherché (Moor/Flückiger/Martenet, Droit administratif, vol. I, 3e éd., Berne 2012, n. 5.2.1.3, p. 814; Knapp, Précis de droit administratif, 4e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 De Luze/Page/ Stoudmann, Droit de la famille, 2013, n. 1.6 ad art. 310 al. 1 CC). Le placement constitue la mesure la plus incisive visant à prévenir une menace pour le développement de l’enfant. Dès lors, cette mesure est ordonnée à titre d’ultima ratio, même contre l’avis des parents. Les mesures de protection de l’enfant sont orientées vers l’avenir et servent exclusivement le bien de l’enfant (TF 5A_300/2018 du 28 mai 2018 consid. 7.1). Aux yeux des personnes concernées, le placement de l’enfant apparaît comme un point de rupture dans la gradation des mesures de protection. Cela vaut tant pour les parents, qui se voient privés du droit d’élever l’enfant dans leur communauté domestique, que</w:t>
      </w:r>
    </w:p>
    <w:p>
      <w:r>
        <w:t>- 16 - pour l’enfant, appelé à vivre de profonds changements en raison du placement (Guide pratique COPMA 2017, n. 2.84, p. 61).</w:t>
      </w:r>
    </w:p>
    <w:p>
      <w:r>
        <w:rPr>
          <w:b/>
        </w:rPr>
        <w:t>E. 4.2.3</w:t>
      </w:r>
    </w:p>
    <w:p>
      <w:r>
        <w:t>Conformément à l’art. 445 al. 1 CC, applicable par renvoi de l’art. 314 al. 1 CC, l’autorité de protection prend, d’office ou à la demande d’une personne partie à la procédure, les mesures provisionnelles nécessaires pendant la durée de la procédure.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13 février 2014/30 et les références citées ; Guide pratique COPMA 2017, n. 3.80, p. 115). L’enfant qui est victime de maltraitance doit être placé à titre provisoire, par mesure de précaution (CCUR 13 août 2014/180).</w:t>
      </w:r>
    </w:p>
    <w:p>
      <w:r>
        <w:rPr>
          <w:b/>
        </w:rPr>
        <w:t>E. 4.2.4</w:t>
      </w:r>
    </w:p>
    <w:p>
      <w:r>
        <w:t>Lors de faits nouveaux, les mesures prises pour protéger l’enfant doivent être adaptées à la nouvelle situation (art. 313 al. 1 CC). L’objectif à terme est de rendre toute protection de droit civil inutile. Dans l’intervalle, la protection doit être « optimisée » en fonction de l’évolution des circonstances (Meier, Commentaire romand, Code civil I, Bâle 2010, n. 2 ad art. 313 CC, p. 1930). Selon la doctrine, les mesures de protection de l’enfant doivent faire l’objet d’un examen périodique et les rapports devraient être demandés à intervalles réguliers (par ex. tous les six mois), ce qui permet de réagir rapidement à une modification des circonstances, et en particulier de réduire la protection, car contrairement à la nécessité d’un renforcement de la mesure, une proposition de réduction ou de suppression ne sera pas toujours faite spontanément (Meier, op. cit., n. 7 ad art. 313 CC, p. 1931).</w:t>
      </w:r>
    </w:p>
    <w:p>
      <w:r>
        <w:rPr>
          <w:b/>
        </w:rPr>
        <w:t>E. 4.2.5</w:t>
      </w:r>
    </w:p>
    <w:p>
      <w:r>
        <w:t>Le droit vaudois prévoit que le SPJ peut être chargé par l’autorité judiciaire ou l’autorité de protection de l’enfant d’un mandat de placement et de garde, soit, selon la nouvelle terminologie, d’un mandat</w:t>
      </w:r>
    </w:p>
    <w:p>
      <w:r>
        <w:t>- 17 - consistant à déterminer le lieu de résidence de l’enfant. Ce service pourvoit alors au placement du mineur dans une famille ou une institution, au mieux des intérêts de celui-ci et règle, sauf décision contraire de l’autorité judiciaire ou de l’autorité de protection, les relations personnelles qu’entretient le mineur avec ses parents ou avec des tiers (art. 23 al. 1 LProMin [loi du 4 mai 2004 sur la protection des mineurs ; RSV 850.41] ; art. 27 al. 1 et 2 RLProMin [règlement d’application de la loi du 4 mai 2004 sur la protection des mineurs : RSV 850.41.1]).</w:t>
      </w:r>
    </w:p>
    <w:p>
      <w:r>
        <w:rPr>
          <w:b/>
        </w:rPr>
        <w:t>E. 4.3</w:t>
      </w:r>
    </w:p>
    <w:p>
      <w:r>
        <w:t>En l’espèce, la situation du recourant et de son fils est connue du SPJ depuis 2017. Dans sa requête de mesures provisionnelles et préprovisionnelles du 9 mai 2018 et ses déterminations du 16 juillet 2018, le SPJ a rappelé qu’il avait été interpellé en juin 2017 par une psychologue de la Polyclinique d’Aigle mentionnant l’hospitalisation en urgence de V.________ pour des troubles psychiques, de sorte que l’enfant M.________ – qui présentait un retard du développement important et avait subi des négligences importantes de la part de son père, lesquelles avaient entravé son développement psychique, affectif et psychique – avait dû être placé d’urgence. Compte tenu des difficultés du père sur le plan psychique et de sa consommation d’alcool ainsi que de l’évolution favorable du mineur en foyer, le SPJ avait requis la prolongation du placement de l’enfant afin d’offrir à celui-ci une stabilité dans son éducation, à laquelle le recourant s’était opposé, de sorte que placement avait de fait pris fin le 14 août 2017. Par ordonnance de mesures provisionnelles du 16 août 2017, la juge de paix, estimant que la mesure de retrait du droit de déterminer le lieu de résidence de l’enfant était à ce stade excessive, le père ne représentant pas un danger immédiat pour son fils, avait renoncé à prononcer une mesure aussi incisive que celle requise par le SPJ, au bénéfice d’une curatelle d’assistance éducative au sens de l’art. 308 al. 1 CC ; enfin le 22 février 2018, retenant qu’en dépit de ses difficultés et de sa fragilité liée à son statut en Suisse, le père pouvait mobiliser des compétences adéquates pour la prise en charge de son fils, la juge de paix avait levé la mesure précitée en la remplaçant par une mesure de surveillance judiciaire au sens de l’art. 307 al. 3 CC. Or le 9 mai 2018, l’enfant a été victime de violences physiques infligées par son père et</w:t>
      </w:r>
    </w:p>
    <w:p>
      <w:r>
        <w:t>- 18 - constatées par la police appelée au domicile du recourant par les voisins qui entendaient crier l’enfant ainsi que par les médecins de l’Hôpital [...] où M.________ a été conduit par celle-ci, lesquels ont certifié que l’enfant présentait de multiples lésions de formes variées, avec atteintes cutanées, sur le haut du corps, le dos, les fesses et la cuisse droite, dont une importante au niveau du biceps gauche. Dès lors, il s’avère que malgré les différentes mesures mises en œuvre, la prise en charge de l’enfant par son père ne s’est pas améliorée, au contraire, et qu’il a été victime de violences physiques de la part du recourant, qui admet les faits tout en les minimisant et les considère comme des pratiques éducatives. Ainsi, la prise en charge déficiente du recourant, cumulée avec les violences physiques infligées, entraîne un danger pour le développement psychique et physique de l’enfant qui doit être protégé et placé dans un lieu propice à ses intérêts. Compte tenu de ce qui précède, le témoignage des proches ne suffit pas à établir que l’enfant se trouve en sécurité auprès de son père. Le placement provisoire étant en l’état justifié, un retour de l’enfant auprès de son père est d’autant plus prématuré que les intervenants envisagent un enseignement spécialisé en institution. Il appartiendra au SPJ, gardien, de déterminer quel est le lieu le plus adapté pour l’enfant, étant précisé qu’un placement à proximité du recourant, comme le requièrent les époux N.________, ne pourrait se justifier que moyennant certaines garanties de sécurité. Partant, le recours de V.________ doit être rejeté, la mesure querellée étant la seule à même de protéger le mineur du danger qui compromet actuellement son développement et s’avérant conforme aux principes de proportionnalité et de subsidiarité.</w:t>
      </w:r>
    </w:p>
    <w:p>
      <w:r>
        <w:rPr>
          <w:b/>
        </w:rPr>
        <w:t>E. 5</w:t>
      </w:r>
    </w:p>
    <w:p>
      <w:r>
        <w:t>A l’audience du 16 mai 2018, V.________ a reconnu qu’il avait frappé son fils avec une ceinture, assurant qu’il regrettait son geste qu’il considérait comme une pratique éducative et déclarant qu’il ne recommencerait pas. Il souhaitait le retour à la maison de son fils, sans lequel il ne pouvait pas vivre.</w:t>
      </w:r>
    </w:p>
    <w:p>
      <w:r>
        <w:t>- 9 - [...] a fait valoir que la scolarité d’M.________ était difficile et qu’il serait certainement orienté vers une école spécialisée, que l’enfant avait des besoins importants et qu’il devait beaucoup être entouré. Etant d’avis que V.________, dont la situation en Suisse était fragile, n’avait pas les ressources nécessaires afin d’assurer le bon développement de son fils, elle estimait que ses compétences parentales devaient être travaillées et préconisait le placement de l’enfant, avec le projet qu’il puisse intégrer un internat pour y poursuivre sa scolarité. En d roit : 1. 1.1 Le recours est dirigé contre une ordonnance de mesures provisionnelles du juge de paix confirmant le retrait provisoire du droit du père de déterminer le lieu de résidence de son fils mineur et maintenant le SPJ en qualité de détenteur du mandat provisoire de placement et de garde de l’enfant, charge à lui de placer le mineur dans un lieu propice à ses intérêts ainsi que de veiller à ce que la garde du mineur soit assumée convenablement dans le cadre de son placement et à ce que le maintien des relations personnelles de l’enfant avec son père soit assuré. 1.2 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w:t>
      </w:r>
    </w:p>
    <w:p>
      <w:r>
        <w:t>- 10 - 450 al. 3 CC), les exigences de motivation ne devant cependant pas être trop élevées (Steck, op. cit.,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1.3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2003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t>- 11 - Selon les situations, le recours sera par conséquent de nature réformatoire ou cassatoire (Guide pratique COPMA 2017, n. 5.84, p. 182). 1.4 En l'espèce, interjeté en temps utile par le père du mineur concerné, lequel a qualité de partie, le présent recours est recevable. Il en va de même des pièces produites, si tant est qu’elles ne figuraient pas au dossier de première instance. Le recours étant manifestement infondé (cf. infra), l’autorité de protection n’a pas été invitée à prendre position (art. 450d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S’agissant du retrait provisoire du droit de déterminer le lieu de résidence, le prononcé de mesures provisionnelles au sens des art. 314 al. 1 et 445 CC relève de la seule compétence du président de l’autorité de protection, soit du juge de paix (art. 4 al. 1 et 5 let. j LVPAE). 2.2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w:t>
      </w:r>
    </w:p>
    <w:p>
      <w:r>
        <w:t>- 12 -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(Steinauer/Fountoulakis, Droit des personnes physiques et de la protection de l'adulte, 2014, nn. 1108 et 1116, pp. 494 et 498). En l'espèce, l’autorité de protection a procédé à l’audition du père de l’enfant le 16 mai 2018, ainsi que de la curatrice, de sorte que le droit d’être entendu de ceux-ci a été respecté. Ahmed, âgé de six ans, n’a pas été entendu par l’autorité de protection ; compte tenu toutefois de la multiplicité des intervenants (Brigade des mineurs et des mœurs, hôpital pédiatrique, SPJ), la juge de paix pouvait en l’occurrence se dispenser de l’entendre, afin de ne pas multiplier ses auditions. 2.3 La décision entreprise est donc formellement correcte et peut être examinée sur le fond. 3. Le sort des enfants est régi par la liberté de la preuve, l’autorité de protection procédant à la recherche et à l’administration des preuves nécessaires (maxime inquisitoire, art. 446 al. 1 et 2 CC) et n’étant pas liée par les conclusions des personnes parties à la procédure (maxime d’office, art. 446 al. 3 CC). L’autorité de protection a l’obligation illimitée d’établir les faits pertinents. Contrairement à ce qui se passe dans les autres procès civils, la procédure devant elle ne vise qu’à protéger un enfant ou un adulte vulnérable (TF 5A_582/2011 du 3 novembre 2011, consid. 3.2). 4.</w:t>
      </w:r>
    </w:p>
    <w:p>
      <w:r>
        <w:rPr>
          <w:b/>
        </w:rPr>
        <w:t>E. 5.1</w:t>
      </w:r>
    </w:p>
    <w:p>
      <w:r>
        <w:t>En conclusion, le recours est rejeté et l’ordonnance attaquée confirmée.</w:t>
      </w:r>
    </w:p>
    <w:p>
      <w:r>
        <w:rPr>
          <w:b/>
        </w:rPr>
        <w:t>E. 5.2</w:t>
      </w:r>
    </w:p>
    <w:p>
      <w:r>
        <w:t>Le présent arrêt peut être rendu sans frais judiciaires de deuxième instance (art. 74a al. 4 TFJC [Tarif du 28 septembre 2010 des frais judiciaires civils ; RSV 270.11.5]).</w:t>
      </w:r>
    </w:p>
    <w:p>
      <w:r>
        <w:t>- 19 - Par ces motifs, la Chambre des curatelles du Tribunal cantonal, statuant à huis clos, prononce : I. Le recours est rejeté. II. L'ordonnance est confirmée. III. L'arrêt, rendu sans frais judiciaires de deuxième instance, est exécutoire. Le président : Le greffier :</w:t>
      </w:r>
    </w:p>
    <w:p>
      <w:r>
        <w:t>- 20 - Du L'arrêt qui précède, dont la rédaction a été approuvée à huis clos, est notifié à : - V.________, - [...], Service de protection de la jeunesse, ORPM de l’Est vaudois, et communiqué à : - SPJ, Unité d’appui juridique,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