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L818.015445 vom 13. Juli 2018</w:t>
      </w:r>
    </w:p>
    <w:p>
      <w:r>
        <w:t>VD Tribunal cantonal, 2018-07-13, FR</w:t>
      </w:r>
    </w:p>
    <w:p>
      <w:r>
        <w:rPr>
          <w:b/>
        </w:rPr>
        <w:t xml:space="preserve">Quelle: </w:t>
      </w:r>
      <w:r>
        <w:t>https://mcp.opencaselaw.ch/entscheid/vd_gerichte_L818.015445</w:t>
      </w:r>
    </w:p>
    <w:p>
      <w:r>
        <w:t>FR: VD_GERICHTE L818.015445 du 13 juillet 2018</w:t>
      </w:r>
    </w:p>
    <w:p>
      <w:r>
        <w:t>IT: VD_GERICHTE L818.015445 del 13 luglio 2018</w:t>
      </w:r>
    </w:p>
    <w:p>
      <w:pPr>
        <w:pStyle w:val="Heading2"/>
      </w:pPr>
      <w:r>
        <w:t>Erwägungen</w:t>
      </w:r>
    </w:p>
    <w:p>
      <w:r>
        <w:rPr>
          <w:b/>
        </w:rPr>
        <w:t>E. 1</w:t>
      </w:r>
    </w:p>
    <w:p>
      <w:r>
        <w:t>A.________, née le [...] 2002, est la fille de L.________. B.F.________, né le [...] 2017, est le fils de A.F.________ et L.________.</w:t>
      </w:r>
    </w:p>
    <w:p>
      <w:r>
        <w:rPr>
          <w:b/>
        </w:rPr>
        <w:t>E. 1.1</w:t>
      </w:r>
    </w:p>
    <w:p>
      <w:r>
        <w:t>Le recours de l'art. 450 CC est ouvert à la Chambre des curatelles (art. 8 LVPAE [Loi du 29 mai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w:t>
      </w:r>
    </w:p>
    <w:p>
      <w:r>
        <w:t>- 8 - 450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n. 5.77, p. 180).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2017, n. 5.84, p. 182).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w:t>
      </w:r>
    </w:p>
    <w:p>
      <w:r>
        <w:rPr>
          <w:b/>
        </w:rPr>
        <w:t>E. 1.2</w:t>
      </w:r>
    </w:p>
    <w:p>
      <w:r>
        <w:t>En l'espèce, motivé et interjeté en temps utile par la mère des deux mineurs concernés et le père du cadet, les recours sont recevables. Il en va de même des pièces produites en deuxième instance, si tant est qu'elles ne figurent pas déjà au dossier.</w:t>
      </w:r>
    </w:p>
    <w:p>
      <w:r>
        <w:t>- 9 -</w:t>
      </w:r>
    </w:p>
    <w:p>
      <w:r>
        <w:rPr>
          <w:b/>
        </w:rPr>
        <w:t>E. 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En l'espèce, la justice de paix a procédé à l'audition des deux parents lors de l'audience du 8 mai 2018. B.F.________ est trop jeune pour être entendu. Quant à A.________, elle a pu faire valoir son point de vue auprès des assistants sociaux du SPJ et il ressort expressément du signalement du 10 avril 2018 qu'elle a pu être entendue dans le cadre de l'action socio-éducative. Au stade des mesures provisionnelles, cela est suffisant.</w:t>
      </w:r>
    </w:p>
    <w:p>
      <w:r>
        <w:rPr>
          <w:b/>
        </w:rPr>
        <w:t>E. 3</w:t>
      </w:r>
    </w:p>
    <w:p>
      <w:r>
        <w:t>Les parents ont tous les deux contesté la décision entreprise en prenant des conclusions différentes. Pour ce motif, il y a lieu d'examiner chacun des deux recours séparément. Recours de L.________</w:t>
      </w:r>
    </w:p>
    <w:p>
      <w:r>
        <w:rPr>
          <w:b/>
        </w:rPr>
        <w:t>E. 3.1</w:t>
      </w:r>
    </w:p>
    <w:p>
      <w:r>
        <w:t>La recourante soutient que les faits ont été constatés de manière erronée. Elle affirme être abstinente à l'alcool depuis sa sortie de cure et qu'elle devrait être considérée comme apte à s'occuper de ses enfants. Comme cela ressort des certificats médicaux produits, la recourante bénéficie d'un suivi multidisciplinaire dans le réseau addictologique lausannois et y participe pleinement. Sa désintoxication est réussie et il est arbitraire de considérer qu'elle doit faire preuve de persévérance dans l'abstinence. Par ailleurs, le retrait du droit de déterminer le lieu de résidence d’A.________ est disproportionné. La décision ne mentionne aucune mesure alternative et l'on ne voit pas pour quel motif un droit de regard du SPJ ou une curatelle éducative ne serait</w:t>
      </w:r>
    </w:p>
    <w:p>
      <w:r>
        <w:t>- 10 - pas suffisante. A.________ bénéficie d'ailleurs de trois suivis (auprès d'Espace, de la DISA ainsi qu'auprès d'une diététicienne) ce qui est suffisant pour assurer son bon développement. La recourante explique encore vivre avec son compagnon, A.F.________, dont les capacités parentales ne sont pas remises en question.</w:t>
      </w:r>
    </w:p>
    <w:p>
      <w:r>
        <w:rPr>
          <w:b/>
        </w:rPr>
        <w:t>E. 3.1.1</w:t>
      </w:r>
    </w:p>
    <w:p>
      <w:r>
        <w:t>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quel que soit le droit applicable. Par ailleurs, les nouvelles dispositions relatives à l'autorité parentale conjointe sont entrées en vigueur le 1er juillet 2014.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128 III 9 consid. 4 ; Stettler, Le droit suisse de la filiation, Traité de droit privé suisse, III, tome Il, 1, p. 247 ; Meier/Stettler, Droit de la filiation, 5e éd., 2014, n. 462, p. 308 ss). Les modifications légales relatives à l'autorité parentale ont notamment eu pour conséquence de redéfinir les notions de droit de garde et de garde de fait. Ainsi, le droit de garde a été abandonné au profit du droit de déterminer le lieu de résidence de l'enfant, qui est désormais une composante à part entière de l'autorité parentale (cf. art. 301a al. 1 CC), et la notion de la garde a été maintenue dans le sens d'une garde de fait (Meier/Stettler, op. cit., nn. 21 et 465 s., pp. 14 et 310 ss). Ces modifications sont d'ordre purement terminologique. La doctrine et la jurisprudence antérieures demeurent en conséquence pertinentes (CCUR 11 août 2014/177).</w:t>
      </w:r>
    </w:p>
    <w:p>
      <w:r>
        <w:t>- 11 - Bien que l'autorité parentale conjointe soit désormais la règle et qu'elle comprenne le droit de déterminer le lieu de résidence de l'enfant (art. 296 al. 2 et 301a al. 1 CC ; ATF 142 III 56 consid. 3 ; ATF 142 III 1 consid. 3.3 et les références), elle n'implique pas nécessairement l'instauration d'une garde de fait partagée (ATF 142 III 617 consid. 3.2.3 et les arrêts cités). La garde (de fait) d'un enfant, telle que définie ci-dessus, peut être attribuée à un seul des parents même lorsque l'autorité parentale demeure conjointe (TF 5A_714/2015 du 28 avril 2016 consid. 4.2.1.2 et consid. 4.3.2).</w:t>
      </w:r>
    </w:p>
    <w:p>
      <w:r>
        <w:rPr>
          <w:b/>
        </w:rPr>
        <w:t>E. 3.1.2</w:t>
      </w:r>
    </w:p>
    <w:p>
      <w:r>
        <w:t>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(cf. Meier/Stettler, op. cit., n. 1297, pp. 851 ss ; Hegnauer, Droit suisse de la filiation et de la famille, 4e éd., Berne 1998, adaptation française par Meier, n. 27.36, p. 194). Le retrait n'a aucune incidence sur l'autorité parentale des père et mère qui sont seulement privés du droit de décider eux-mêmes du lieu de séjour de l'enfant. Le pouvoir de représentation du tiers chez qui l'enfant est placé dépend des circonstances concrètes du placement (ATF 128 III 9, JdT 2002 I 324).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(cf. Meier/Stettler, op. cit., n. 1297, pp. 851 ss ; Hegnauer, op. cit.,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w:t>
      </w:r>
    </w:p>
    <w:p>
      <w:r>
        <w:t>- 12 -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 238/2010 du 11 juin 2010 consid. 4, publié in La pratique du droit de la famille [FamPra.ch] 2010, p. 713).</w:t>
      </w:r>
    </w:p>
    <w:p>
      <w:r>
        <w:rPr>
          <w:b/>
        </w:rPr>
        <w:t>E. 3.1.3</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2017, n. 5.20, p. 164 ; cf. art. 261 al. 1 CPC ; sur le tout, CCUR 13 février 2014/30).</w:t>
      </w:r>
    </w:p>
    <w:p>
      <w:r>
        <w:rPr>
          <w:b/>
        </w:rPr>
        <w:t>E. 3.2</w:t>
      </w:r>
    </w:p>
    <w:p>
      <w:r>
        <w:t>En l'espèce, la situation des enfants A.________ et B.F.________ a été signalée au SPJ en septembre 2017 en raison d'épisodes de violence, le recourant ayant contacté la police après avoir été agressé par la recourante, alors alcoolisée. L'assistant social relate que les policiers ont constaté que la recourante était dans un état d'ébriété tel qu'elle n'était pas en mesure de s'occuper des enfants. La recourante ne conteste pas ses alcoolisations massives et sa récente hospitalisation en avril 2018 mais se dit, maintenant, abstinente. Il ressort du certificat médical de la Dresse [...] du 7 mai 2018, d'une part que la recourante a déjà bénéficié à</w:t>
      </w:r>
    </w:p>
    <w:p>
      <w:r>
        <w:t>- 13 - plusieurs reprises d'un suivi médical intensif, et d'autre part qu'elle bénéficie actuellement d'un suivi multidisciplinaire dans le réseau addictologique lausannois, auquel elle participe pleinement, de manière fiable et avec motivation. Quant au certificat médical établi le 4 mai 2018 par le Dr M.________, il mentionne que la patiente a rapporté une abstinence depuis le 17 avril 2018, sans en attester lui-même. Or, même si l'abstinence devait être considérée comme avérée, il faut relever qu'elle est très récente, alors que la consommation d'alcool est problématique depuis des années. En effet, A.________, qui a aujourd'hui 15 ans, avait déjà été placée lorsqu'elle « était une très jeune enfant », selon les dires de la recourante. Le SPJ relève que la recourante peine à être constante dans le suivi proposé, ce qui est corroboré par le fait que des alcoolisations massives ont eu lieu au printemps, donnant lieu à une hospitalisation, alors même que la consommation est présente depuis plusieurs années. Outre le fait que B.F.________ n'a même pas un an et qu’il est évident que, s’il est livré à lui-même lors des alcoolisations de sa mère, il est potentiellement en grave danger, il faut souligner que lorsque la recourante se trouve en état d’ébriété, l’enfant se trouve au milieu de disputes et de violence dont elle ne mesure pas l’impact néfaste sur le développement psycho-affectif de son fils. En outre, elle ne peut pas se prévaloir de la présence du père pour protéger ses enfants, celui-ci ayant déclaré avoir quitté le domicile familial (cf. infra ch. 4.1) et n'ayant surtout pas été en mesure de protéger les enfants jusqu'à maintenant, ce qu'il admet puisqu'il a lui-même initié la présente procédure. Quant à l'argument selon lequel la mesure serait disproportionnée, le SPJ a proposé d'accompagner les deux parents dans le cadre d'une action socio- éducative mais celle-ci n'est pas suffisante au vu des derniers incidents qui ont conduit à solliciter le placement des enfants. La représentante du SPJ G.________ a expliqué qu'il n'existait pas de mesure où un éducateur serait présent au domicile 24 heures sur 24, ce qui amène à considérer que du point de vue des professionnels, seule une telle présence serait à même d'assurer la sécurité des enfants. Par ailleurs, si la recourante se soumet aux tests ordonnés par le juge et qu'elle est en mesure d'attester d'une abstinence sur un plus long terme, le SPJ pourra, en sa qualité de gardien, décider de placer, de fait, le ou les enfants auprès de leur mère,</w:t>
      </w:r>
    </w:p>
    <w:p>
      <w:r>
        <w:t>- 14 - si cela est dans leur intérêt, sans attendre l'issue de l'enquête sociale qui prendra du temps. Enfin, s'agissant d’A.________, elle a été placée le</w:t>
      </w:r>
    </w:p>
    <w:p>
      <w:r>
        <w:rPr>
          <w:b/>
        </w:rPr>
        <w:t>E. 6</w:t>
      </w:r>
    </w:p>
    <w:p>
      <w:r>
        <w:t>avril 2018, soit avant le prononcé de la décision de mesures superprovisionnelles et sa mère avait alors adhéré à cette prise en charge. L'adolescente a déclaré être fatiguée de la situation qui dure depuis plus de 15 ans. Même si, plus indépendante que son demi-frère en raison de son âge, les éventuels épisodes d'alcoolisation représente moins un danger pour elle, l'éloignement du foyer familial apparaît, prima facie, indispensable au vu de l'échec de l'action socio-éducative jusqu'alors et du comportement de l’adolescente qui a fugué et qui fait l'objet d'une procédure pénale pour pornographie. La décision entreprise ne paraît dès lors pas disproportionnée. Les moyens sont mal fondés et le recours de L.________ doit être rejeté. 4. Recours de A.F.________ 4.1 Le recourant conteste que le droit de déterminer le lieu de résidence de B.F.________ lui soit retiré au motif qu'il ne fait plus ménage commun avec la recourante depuis octobre 2017, s'étant constitué un domicile séparé chez le frère de la recourante, [...], ce dont le premier juge n'a pas tenu compte. Ce logement présente toutes les caractéristiques nécessaires pour accueillir B.F.________. Ce changement de circonstance était connu de l'autorité intimée dès lors que la décision a été notifiée au recourant à sa nouvelle adresse. Une mesure tendant à octroyer au seul recourant le droit de déterminer le lieu de résidence de l'enfant B.F.________ aurait ainsi été suffisante et proportionnée pour protéger l'enfant et cette alternative aurait dû être examinée dès lors que les compétences parentales du recourant lui ont été reconnues. En déménageant, le recourant a pris les mesures qui s'imposaient pour préserver l'intégrité physique et psychique de son enfant. 4.2</w:t>
      </w:r>
    </w:p>
    <w:p>
      <w:r>
        <w:t>- 15 - 4.2.1 En cas d'autorité parentale conjointe, le droit de déterminer le lieu de résidence appartient en commun aux deux parents. L'art. 310 CC permet de le retirer, aux deux parents, ou exceptionnellement à l'un deux seulement. Si les parents font ménage commun, le retrait interviendra en principe à leur égard à tous les deux ; s'ils ont l'autorité parentale conjointe mais ne vivent pas ensemble, une réglementation appropriée de la garde entre les parents pourrait suffire, sans qu'il y ait besoin de retirer le droit de déterminer le lieu de résidence. Dans les cas où le retrait n'est prononcé qu'à l'endroit d'un seul parent, le droit de déterminer le lieu de résidence demeure en mains de l'autre. Bien que ce soit plutôt rare, on pourra envisager de retirer le droit à un parent mais pas à l'autre lorsqu'il existe des divergences insurmontables entre les parents sur la question de la résidence et qu'un seul d'entre eux défend une solution véritablement conforme à l'intérêt de l'enfant, de sorte qu'il doit recevoir le droit d'en décider seul (COPMA, Droit de la protection de l'enfant, Guide pratique, 2017, n. 2.85 et 2.86 p. 61). 4.2.2 Le droit vaudois prévoit que le SPJ — qui est l'autorité compétente en matière de prévention des facteurs de mise en danger, de protection des mineurs et de réhabilitation des compétences éducatives des parents, dans le domaine socio-éducatif (art. 6 al. 1 LProMin [loi du 4 mai 2004 sur la protection des mineurs ; RS 850.41]) — peut être chargé par l'autorité judiciaire ou l'autorité de protection de l'enfant d'un mandat de garde. Ce service pourvoit alors au placement du mineur dans une famille ou une institution, au mieux de ses intérêts, décide de son mode de prise en charge, donne des instructions à la famille ou à l'institution accueillant le mineur, sous réserve des compétences résiduelles de l'autorité parentale. Dans ce contexte, le SPJ peut notamment décider de placer l'enfant, de fait, auprès de l'autre parent (CCUR 17 avril 2018/321), quand bien même il ne serait pas ou plus titulaire du droit de déterminer le lieu de résidence de l'enfant. 4.3 En l'espèce, il faut relever en premier lieu que rien n'indique que le recourant ait effectivement pris un domicile séparé, l'adresse de notification de la décision entreprise n'étant pas suffisante et aucune</w:t>
      </w:r>
    </w:p>
    <w:p>
      <w:r>
        <w:t>- 16 - pièce n'étant produite à cet égard. Pour ce motif, on ne saurait considérer, même au stade de la vraisemblance, qu'il ne fait plus ménage commun avec la recourante et qu'il suffit de retirer le droit de déterminer le lieu de résidence de la recourante pour protéger l'enfant. Au demeurant, même si son déménagement était avéré et durable, rien n'indique que le recourant serait maintenant en mesure de s'opposer à la recourante s'agissant de la prise en charge de leur enfant commun alors qu'il ne l'a pas été auparavant, étant finalement contraint de faire appel à la Police et au SPJ. A cet égard, il faut rappeler que selon la représentante du SPJ, la recourante a déjà manifesté la volonté d'aller chercher B.F.________ sur son lieu de placement contre la volonté du SPJ. Dans ces circonstances, il est vraisemblable que confier au seul recourant le droit de déterminer le lieu de résidence de l'enfant ne ferait que péjorer la situation entre les parents. En revanche, il ressort de la procédure que pour le recourant, il est important de pouvoir s'occuper d'B.F.________ au quotidien. Rien n'indique que le recourant soit dépourvu de compétences parentales. Ainsi, en application des principes exposés ci-dessus, il appartiendra au SPJ, si le recourant s'est effectivement établi durablement dans un domicile distinct de sa compagne, s'il est en mesure d'accueillir l'enfant dans ce logement et s'il dispose d'une disponibilité suffisante, d'examiner dans quelle mesure le placement de l'enfant auprès de son père pourrait être la solution la plus conforme aux intérêts de celui-ci. En l’état, quoiqu’il en soit, le retrait du droit est justifié Le moyen est mal fondé. 5. 5.1 En conclusion, les deux recours doivent être rejetés et l’ordonnance confirmée. 5.2 Les recourants ont requis d’être mis au bénéfice de l’assistance judiciaire pour la procédure de recours.</w:t>
      </w:r>
    </w:p>
    <w:p>
      <w:r>
        <w:t>- 17 - Selon l’art. 117 CPC, applicable par renvoi des art. 450f CC et 12 LVPAE, une personne a droit à l’assistance judiciaire aux conditions cumulatives qu’elle ne dispose pas de ressources suffisantes (let. a) et que sa cause ne paraisse pas dépourvue de toute chance de succès (let. b). L’assistance judiciaire doit faire l’objet d’une nouvelle requête pour la procédure de recours (art. 119 al. 5 CPC). En l’espèce, les conditions de l’art. 117 CPC étant remplies, les requêtes d’assistance judiciaire des deux recourants doivent être admises avec effet au 4 juin 2018. Me Laurent Maire est désigné conseil d'office de la recourante et Me Léonard Bruchez conseil d'office du recourant. Dans sa liste des opérations du 18 juin 2018, Me Laurent Maire indique avoir consacré 6 heures 10 au dossier et avoir eu pour 21 fr. de débours. Vu la nature et les difficultés de la cause, il convient de lui allouer l’indemnité correspondante ainsi que les débours réclamés. Son indemnité d’honoraires et débours s’élèvera ainsi à (6 heures 15 X 180 fr. [art. 2 al. 1 let. a RAJ [Règlement du 7 décembre 2010 sur l’assistance judiciaire en matière civile ; RSV 211.02.3]) = 1'192 fr. 25 d’honoraires, plus 22 fr. 60 de débours, y compris la TVA de 7,7 %, soit à un total de 1'214 fr. 85, montant arrondi à 1'220 francs. Dans sa liste des opérations du 18 juin 2018, Me Léonard Bruchez indique que son avocat-stagiaire [...] a consacré 11.20 heures au dossier et que son indemnité totale s’élève à 1’369 fr. 94, débours et TVA compris. Vu la nature et les difficultés de la cause et compte tenu de l’art. 2 al. 1 let. b RAJ, il convient de lui allouer cette indemnité que l’on arrondira au montant de 1'370 francs. Les bénéficiaires de l'assistance judiciaire sont, dans la mesure de l'art. 123 CPC, tenus au remboursement des frais judiciaires et de l'indemnité des conseils d'office mis à la charge de l'Etat. 5.3 Les frais judiciaires de deuxième instance afférents au recours de L.________, arrêtés à 600 fr., et ceux afférents au recours de</w:t>
      </w:r>
    </w:p>
    <w:p>
      <w:r>
        <w:t>- 18 - A.F.________, arrêtés à 600 fr., seront provisoirement laissés à la charge de l'Etat. Par ces motifs, la Chambre des curatelles du Tribunal cantonal, statuant à huis clos, prononce : I. Les recours sont rejetés. II. L’ordonnance est confirmée. III. La requête d’assistance judiciaire de L.________ est admise, Me Laurent Maire étant désigné conseil d’office de la recourante avec effet au 4 juin 2018. IV. La requête d’assistance judiciaire de A.F.________ est admise, Me Léonard Bruchez étant désigné conseil d’office du recourant avec effet au 4 juin 2018. V. L’indemnité de Me Laurent Maire, conseil de la recourante, est arrêtée à 1'220 fr. (mille deux cent vingt francs), TVA et débours compris. VI. L’indemnité de Me Léonard Bruchez, conseil du recourant, est arrêtée à 1'370 fr. (mille trois cent septante francs), TVA et débours compris. VII. Les frais judiciaires de deuxième instance afférents au recours de L.________ sont arrêtés à 600 fr. (six cents francs) et ceux afférents au recours de A.F.________ arrêtés à 600 fr. (six cents francs) et sont provisoirement laissés à la charge de l’Etat.</w:t>
      </w:r>
    </w:p>
    <w:p>
      <w:r>
        <w:t>- 19 - VIII. Les bénéficiaires de l’assistance judiciaire sont, dans la mesure de l’art. 123 CPC, tenus au remboursement des frais judiciaires et de l’indemnité des conseils d’office mis à la charge de l’Etat. IX. L’arrêt motivé est exécutoire. Le président : La greffière : Du L'arrêt qui précède, dont la rédaction a été approuvée à huis clos, est notifié à : - Me Laurent Maire (pour L.________), - Me Léonard Bruchez (pour A.F.________), - Service de protection de la jeunesse (SPJ), à l’attention de l’assistante sociale T.________, et communiqué à : - Mme la Juge de paix du district de Lausanne, - Service de protection de la jeunesse – Unité d’appui juridique, par l'envoi de photocopies.</w:t>
      </w:r>
    </w:p>
    <w:p>
      <w:r>
        <w:t>- 20 -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