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L120.048494 vom 16. Juli 2021</w:t>
      </w:r>
    </w:p>
    <w:p>
      <w:r>
        <w:t>VD Tribunal cantonal, 2021-07-16, FR</w:t>
      </w:r>
    </w:p>
    <w:p>
      <w:r>
        <w:rPr>
          <w:b/>
        </w:rPr>
        <w:t xml:space="preserve">Quelle: </w:t>
      </w:r>
      <w:r>
        <w:t>https://mcp.opencaselaw.ch/entscheid/vd_gerichte_L120.048494</w:t>
      </w:r>
    </w:p>
    <w:p>
      <w:r>
        <w:t>FR: VD_GERICHTE L120.048494 du 16 juillet 2021</w:t>
      </w:r>
    </w:p>
    <w:p>
      <w:r>
        <w:t>IT: VD_GERICHTE L120.048494 del 16 luglio 2021</w:t>
      </w:r>
    </w:p>
    <w:p>
      <w:pPr>
        <w:pStyle w:val="Heading2"/>
      </w:pPr>
      <w:r>
        <w:t>Erwägungen</w:t>
      </w:r>
    </w:p>
    <w:p>
      <w:r>
        <w:rPr>
          <w:b/>
        </w:rPr>
        <w:t>E. 1</w:t>
      </w:r>
    </w:p>
    <w:p>
      <w:r>
        <w:t>Le recours est dirigé contre une ordonnance de mesures provisionnelles de la juge de paix confirmant l’institution d’une curatelle provisoire de représentation et de gestion au sens des art. 394 al. 1 et 395 al. 1 CC en faveur d’A.G.________.</w:t>
      </w:r>
    </w:p>
    <w:p>
      <w:r>
        <w:rPr>
          <w:b/>
        </w:rPr>
        <w:t>E. 1.1</w:t>
      </w:r>
    </w:p>
    <w:p>
      <w:r>
        <w:t>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(Droese/Steck, Basler Kommentar, Zivilgesetzbuch I, 6e éd., Bâle 2018, n. 21 ad art. 450 CC, p.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op. cit., n. 42 ad art. 450 CC, p. 2825).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TF 5C_1/2018 du 8 mars 2019 consid. 5.1 et les références citées ; TF 5A_367/2016 du 6 février 2017 consid. 5). En matière de protection de l'adulte et de l'enfant, la maxime inquisitoire illimitée est applicable, de sorte que les restrictions</w:t>
      </w:r>
    </w:p>
    <w:p>
      <w:r>
        <w:t>- 10 - posées par l'art. 317 CPC pour l'introduction de faits ou moyens de preuve nouveaux sont inapplicables (cf. JdT 2011 III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jouit d’un pouvoir de cognition pour tous les motifs de recours prévus par la loi, à savoir la violation du droit (ch. 1), la constatation fausse ou incomplète des faits pertinents (ch. 2) et l’inopportunité de la décision (ch. 3) (Steck, Commentaire du droit de la famille [CommFam], Protection de l’adulte, Berne 2003, n. 7 ad art. 450a CC et les réf. cit., p. 922). S’agissant de ce dernier critère, l’instance judiciaire de recours jouit d’un plein pouvoir d’appréciation (Steck, CommFam, n. 10 ad art. 450a CC, p. 923).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2012, n. 12.39, p. 290). Conformément à l’art. 450d CC, la Chambre des curatelles donne à la justice de paix l’occasion de prendre position (al. 1), cette autorité pouvant, au lieu de prendre position, reconsidérer sa décision (al. 2).</w:t>
      </w:r>
    </w:p>
    <w:p>
      <w:r>
        <w:rPr>
          <w:b/>
        </w:rPr>
        <w:t>E. 1.2</w:t>
      </w:r>
    </w:p>
    <w:p>
      <w:r>
        <w:t>En l’espèce, motivé et interjeté en temps utile par la personne concernée, le présent recours est recevable. Il en va de même des pièces produites en deuxième instance, si tant est qu’elles ne figurent pas déjà au dossier.</w:t>
      </w:r>
    </w:p>
    <w:p>
      <w:r>
        <w:t>- 11 - L’autorité de protection a été consultée conformément à l’art. 450d al. 1 CC et la curatrice a été invitée à se déterminer.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La personne concernée doit être entendue personnellement, à moins que l’audition ne paraisse disproportionnée (art. 447 al. 1 CC). La juge de paix a procédé à l’audition d’A.G.________ lors de son audience du 1er février 2021, de sorte que le droit d’être entendue de celle-ci a été respecté. L’ordonnance entreprise est donc formellement correcte et peut être examinée sur le fond.</w:t>
      </w:r>
    </w:p>
    <w:p>
      <w:r>
        <w:rPr>
          <w:b/>
        </w:rPr>
        <w:t>E. 3</w:t>
      </w:r>
    </w:p>
    <w:p>
      <w:r>
        <w:t>La recourante conteste la curatelle provisoire de représentation et de gestion instituée en sa faveur. Elle soutient que les conditions d’une telle mesure ne sont pas réalisées. Elle nie toute cause affectant sa condition personnelle et tout besoin de protection. Elle invoque également une violation du principe de proportionnalité.</w:t>
      </w:r>
    </w:p>
    <w:p>
      <w:r>
        <w:t>- 12 -</w:t>
      </w:r>
    </w:p>
    <w:p>
      <w:r>
        <w:rPr>
          <w:b/>
        </w:rPr>
        <w:t>E. 3.1.1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A l'instar de l'ancien droit de la tutelle, une cause de curatelle (état objectif de faiblesse), ainsi qu'une condition de curatelle (besoin de protection particulier), doivent être réunies pour justifier le prononcé d'une curatelle. C’est l’intensité du besoin qui déterminera l’ampleur exacte de la protection à mettre en place (Meier, Droit de la protection de l'adulte, Genève/Zurich/Bâle 2016, n. 719, p. 366).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366). Par « troubles psychiques », on entend toutes les pathologies mentales reconnues en psychiatrie, soit les psychoses et les psychopathies ayant des causes physiques ou non, ainsi que les démences (Meier, Droit de la protection de l'adulte, op. cit., n. 722, p. 367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w:t>
      </w:r>
    </w:p>
    <w:p>
      <w:r>
        <w:t>- 13 - L’état de faiblesse doit avoir encore pour conséquence l’incapacité, totale ou partielle, de la personne concernée d'assurer elle- même la sauvegarde de ses intérêts ou de désigner un représentant pour gérer ses affaires (besoin de protection). Il doit s’agir d’affaires essentielles pour la personne concernée, de sorte que les difficultés constatées ont pour elle des conséquences importantes. Bien que la loi ne le précise pas, il peut s'agir d'intérêts patrimoniaux et/ou personnels (Meier, Droit de la protection de l’adulte, op. cit., n. 729, p. 370 ; Guide pratique COPMA 2012, n. 5.10, p. 138 ; TF 5A_417/2018 du 17 octobre 2018, SJ 2019 I p. 127).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 ATF 140 III 49 précité ; TF 5A_417/2018 du 17 octobre 2018 consid. 4.2.1, SJ 2019 I p. 127 ; TF 5A_844/2017 du 15 mai 2018 consid. 3.1 et les références citées). Cette mesure doit donc se trouver en adéquation avec le but fixé, représenter l’atteinte la plus faible possible pour être compatible avec celui-ci et rester dans un rapport raisonnable entre lui et l’atteinte engendrée (TF 5A_417/2018 du 17 octobre 2018 consid. 4.2.1, SJ 2019 I p. 127 ; TF 5A_844/2017 du 15 mai 2018 consid. 3.1). En bref, l’autorité de protection de l’adulte doit suivre le principe suivant : « assistance étatique</w:t>
      </w:r>
    </w:p>
    <w:p>
      <w:r>
        <w:t>- 14 - autant que besoin est, et intervention étatique aussi rare que possible ». Cela s’applique également à l’institution d’une curatelle de représentation selon l’art. 394 CC (ATF 140 III 49 précité).</w:t>
      </w:r>
    </w:p>
    <w:p>
      <w:r>
        <w:rPr>
          <w:b/>
        </w:rPr>
        <w:t>E. 3.1.2</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CommFam, nn. 15 à 26 ad art. 394 CC, pp. 439 ss, et n. 11 ad art. 395 CC, p. 452 ; Meier, Droit de la protection de l’adulte, op. cit., n. 818, p. 405).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op. cit., nn. 813 et 833, pp. 403 et 410 ; Meier, CommFam,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et 836, p. 411).</w:t>
      </w:r>
    </w:p>
    <w:p>
      <w:r>
        <w:t>- 15 -</w:t>
      </w:r>
    </w:p>
    <w:p>
      <w:r>
        <w:rPr>
          <w:b/>
        </w:rPr>
        <w:t>E. 3.1.3</w:t>
      </w:r>
    </w:p>
    <w:p>
      <w:r>
        <w:t>Conformément à l'art. 445 al. 1 CC, l'autorité de protection prend, d'office ou à la demande d'une personne partie à la procédure, les mesures provisionnelles nécessaires pendant la durée de la procédure. Elle peut notamment ordonner une mesure de protection à titre provisoire.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2012, n. 1.186, p. 75 ; sur le tout : CCUR 17 décembre 2020/239 ; CCUR 13 février 2014/30 et les références citées). De surcroît, le juge des mesures provisionnelles statue sur la base des justificatifs immédiatement disponibles (Colombini, Code de procédure civile, Condensé de la jurisprudence fédérale et vaudoise, Lausanne 2018, n. 3.1.1 ad art. 296 CPC et les références citées, p. 903).</w:t>
      </w:r>
    </w:p>
    <w:p>
      <w:r>
        <w:rPr>
          <w:b/>
        </w:rPr>
        <w:t>E. 3.2</w:t>
      </w:r>
    </w:p>
    <w:p>
      <w:r>
        <w:t>En l’espèce, la situation de la recourante a été signalée à la justice de paix le 4 décembre 2020 par la fille de cette dernière, qui estimait que l’institution d’une mesure de protection en sa faveur était nécessaire dès lors qu’elle n’était plus capable de prendre seule des décisions importantes, comme la vente d’un bien immobilier, et était susceptible de subir des abus de tiers. Elle a exposé que sa mère avait signé une procuration pour signer en son nom un acte notarié concernant la vente d’un terrain alors qu’elle n’avait pas compris le contenu de cet acte et que, contacté, le promoteur immobilier avait déclaré que ce n’était pas son problème. Elle a indiqué qu’elle avait consulté un avocat, qui lui avait conseillé de signaler la situation de sa mère et de demander l’institution d’une mesure de protection en sa faveur contre une potentielle exploitation de son patrimoine. Elle a relevé que le D P.________ lui avait également conseillé d’alerter la justice de paix car sa mère souffrait non seulement d’un cancer, mais montrait également des signes de dépression et de déficiences cognitives.</w:t>
      </w:r>
    </w:p>
    <w:p>
      <w:r>
        <w:t>- 16 - Dans son rapport médical du 11 février 2021, le Dr P.________ a déclaré que la recourante présentait un trouble cognitif avec une symptomatologie à prédominance langagière et exécutive, d’apparition progressive selon les données de l’hétéroanamnèse. Il a mentionné que le tableau neurocognitif pouvait se comprendre dans le cadre d’un possible processus neurodégénératif, dont le type restait à déterminer. Il a relevé que la participation des récentes interventions médicales, de la chimiothérapie encore en cours actuellement et d’une composante thymique ne pouvait être exclue. Il a considéré que même si les troubles objectivés s’inscrivaient dans le cadre d’un trouble neurocognitif considéré comme mineur au vu de la CDR, les troubles exécutifs, en particulier, étaient tels qu’il ne paraissait pas raisonnable de laisser A.G.________ continuer à gérer seule ses affaires administratives et financières. Il a observé que le faible niveau de reconnaissance des troubles rendait très difficile l’évaluation de la capacité de discernement de l’intéressée. Il a toutefois affirmé que cette dernière n’était plus capable d’assurer elle- même la sauvegarde de ses intérêts (patrimoniaux et personnels) et était susceptible de prendre des engagements contraires à ses intérêts ou d’être facilement victime de l’abus de tiers comme cela avait été le cas, semblait-il, dans la signature récente d’un acte de vente. Il a estimé que l’intéressée était capable de désigner un représentant pour gérer ses affaires, relevant qu’il ne devait s’agir ni de sa sœur ni de sa fille. A la lecture du rapport médical du Dr P.________, tant la cause que la condition de la curatelle semblent réalisées. Ce médecin a toutefois établi son rapport à la suite de plusieurs entretiens avec la fille de la personne concernée, laquelle ne veut apparemment pas que sa mère vende le terrain et la maison en question. De plus, lors de son audition du 1er février 2021, E.________ a expliqué qu’elle avait examiné les actes notariés, qu’elle n’avait rien trouvé de particulier dans le contrat de vente et qu’elle avait demandé une estimation de la valeur du terrain, qui correspondait à celui prévu dans l’acte de vente. En outre, elle a estimé que l’acte en question sauvegardait les intérêts de la recourante et de sa sœur. Egalement entendue le 1er février 2021, X.________ a déclaré que tout était en ordre dans les affaires administratives et financières d’A.G.________, que sa sœur lui apportait de l’aide dans la gestion de la</w:t>
      </w:r>
    </w:p>
    <w:p>
      <w:r>
        <w:t>- 17 - copropriété et qu’il y avait un problème de communication entre l’intéressée et sa fille. Dans ses déterminations du 8 juin 2021, elle a par ailleurs confirmé qu’elle n’était pas opposée à la levée de la curatelle instituée en faveur d’A.G.________, précisant que cette dernière avait sa capacité de discernement et était capable de gérer ses affaires administratives et financières, tout en demandant de l’aide à son avocat ou à sa sœur si elle rencontrait des difficultés. Au surplus, dans son rapport du 26 mai 2021, la psychologue L.________ a indiqué que la symptomatologie cognitive, dominée par une atteinte mnésique, pouvait s’inscrire dans le cadre des multiples narcoses subies par le passé, tout en relevant que bien que moins probable, un processus neurodégénératif débutant ne pouvait toutefois pas être exclu à ce jour. Elle a estimé qu’au vu de la faible intensité du dysfonctionnement exécutif chez une patiente nosognosique, orientée et cohérente dans son discours, la capacité de discernement demeurait préservée. Elle a considéré que d’un point de vue strictement neuropsychologique, il n’y avait plus d’argumente en faveur d’une mise sous curatelle. Enfin, dans son rapport médical du 18 juin 2021, le Dr F.________ a affirmé que la recourante était capable de gérer ses affaires, conservait sa capacité de discernement et n’était pas particulièrement influençable, de sorte qu’une curatelle n’était pas nécessaire. Il résulte de ce qui précède que le besoin d’aide de la recourante n’est pas établi, ni même rendu vraisemblable. Toutefois, la suite de l’enquête devra déterminer si des mesures devraient tout de même être envisagées à terme, ou si tel ne serait pas le cas.</w:t>
      </w:r>
    </w:p>
    <w:p>
      <w:r>
        <w:rPr>
          <w:b/>
        </w:rPr>
        <w:t>E. 4</w:t>
      </w:r>
    </w:p>
    <w:p>
      <w:r>
        <w:t>En conclusion, le recours interjeté par A.G.________ doit être admis, l’ordonnance entreprise annulée et l’ordonnance de mesures superprovisionnelles du 8 décembre 2020 déclarée caduque. Au vu du sort de la cause, les frais judiciaires de deuxième instance sont laissés à la charge de l’Etat (art. 74a al. 4 TFJC [Tarif du 28</w:t>
      </w:r>
    </w:p>
    <w:p>
      <w:r>
        <w:t>- 18 - septembre 2018 des frais judiciaires civils ; BLV 270.11.5]), l’avance de frais, par 300 fr., étant restituée à la recourante qui en a fait l’avance. Quand bien même la recourante obtient gain de cause, il n’y a pas lieu de lui allouer de dépens de deuxième instance, le juge de paix n’ayant pas qualité de partie, mais d’autorité de première instance, de sorte qu’il ne saurait être condamné à des dépens (Tappy, Commentaire romand, Code de procédure civile, Bâle 2019, 2e éd., n. 35 ad art. 107 CPC, p. 495 ; ATF 140 II 385 consid. 4.1 et 4.2). Par ces motifs, la Chambre des curatelles du Tribunal cantonal, statuant à huis clos, prononce : I. Le recours est admis. II. L’ordonnance est annulée. III. L’ordonnance de mesures superprovisionnelles du 8 décembre 2020 est caduque. IV. Les frais judiciaires de deuxième instance sont laissés à la charge de l’Etat, l’avance de frais, par 300 fr. (trois cents francs), étant restituée à la recourante A.G.________. V. L'arrêt est exécutoire. Le président : La greffière :</w:t>
      </w:r>
    </w:p>
    <w:p>
      <w:r>
        <w:t>- 19 - Du L'arrêt qui précède, dont la rédaction a été approuvée à huis clos, est notifié à : - Me Marc Cheseaux (pour A.G.________), - Service des curatelles et tutelles professionnelles, à l’att. de Mmes X.________ et E.________, et communiqué à : - Mme la Juge de paix du district de Nyon, - Mme B.G.________,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