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KZ25.017435 vom 7. Juli 2025</w:t>
      </w:r>
    </w:p>
    <w:p>
      <w:r>
        <w:t>VD Tribunal cantonal, 2025-07-07, FR</w:t>
      </w:r>
    </w:p>
    <w:p>
      <w:r>
        <w:rPr>
          <w:b/>
        </w:rPr>
        <w:t xml:space="preserve">Quelle: </w:t>
      </w:r>
      <w:r>
        <w:t>https://mcp.opencaselaw.ch/entscheid/vd_gerichte_KZ25.017435</w:t>
      </w:r>
    </w:p>
    <w:p>
      <w:r>
        <w:t>FR: VD_GERICHTE KZ25.017435 du 7 juillet 2025</w:t>
      </w:r>
    </w:p>
    <w:p>
      <w:r>
        <w:t>IT: VD_GERICHTE KZ25.017435 del 7 luglio 2025</w:t>
      </w:r>
    </w:p>
    <w:p>
      <w:pPr>
        <w:pStyle w:val="Heading2"/>
      </w:pPr>
      <w:r>
        <w:t>Erwägungen</w:t>
      </w:r>
    </w:p>
    <w:p>
      <w:r>
        <w:rPr>
          <w:b/>
        </w:rPr>
        <w:t>E. 1</w:t>
      </w:r>
    </w:p>
    <w:p>
      <w:r>
        <w:t>- 8 -</w:t>
      </w:r>
    </w:p>
    <w:p>
      <w:r>
        <w:rPr>
          <w:b/>
        </w:rPr>
        <w:t>E. 1.1</w:t>
      </w:r>
    </w:p>
    <w:p>
      <w:r>
        <w:t>Le recours est dirigé contre une ordonnance de mesures provisionnelles de la juge de paix fixant provisoirement les modalités d’exercice du droit de visite d’un père sur sa fille mineure.</w:t>
      </w:r>
    </w:p>
    <w:p>
      <w:r>
        <w:rPr>
          <w:b/>
        </w:rPr>
        <w:t>E. 1.2.1</w:t>
      </w:r>
    </w:p>
    <w:p>
      <w:r>
        <w:t>Le recours de l'art. 450 CC (Code civil suisse du 10 décembre 1907 ; RS 210)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ZGB, 7e éd., Bâle 2022, ci-après : Basler Kommentar,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w:t>
      </w:r>
    </w:p>
    <w:p>
      <w:r>
        <w:t>- 9 -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w:t>
      </w:r>
    </w:p>
    <w:p>
      <w:r>
        <w:t>Motivé et interjeté en temps utile par la mère de la mineure concernée,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w:t>
      </w:r>
    </w:p>
    <w:p>
      <w:r>
        <w:t>- 10 - consulter l’autorité de protection et aucune détermination n’a été recueillie.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2.2.1</w:t>
      </w:r>
    </w:p>
    <w:p>
      <w:r>
        <w:t>Aux termes de l’art. 275 al. 1 CC, l’autorité de protection du domicile de l’enfant est compétente pour prendre les mesures nécessaires concernant les relations personnelles. Le prononcé de mesures provisionnelles au sens des art. 314 al. 1 et 445 al. 1 CC relève de la seule compétence du président de l’autorité de protection, soit du juge de paix (art. 4 al. 1 et 5 al. 1 let. j LVPAE). Dès lors que la jurisprudence du Tribunal fédéral (ATF 148 I 251 consid. 3.7 et 3.8) – qui impose que les décisions, à l’exception des mesures superprovisionnelles, ordonnant un retrait du droit de déterminer le lieu de résidence de l’enfant et le placement de celui-ci soient prises par l’autorité de protection réunie en collège – ne traite pas des relations personnelles, on peut admettre que la compétence du juge de paix seul est en l’occurrence donnée.</w:t>
      </w:r>
    </w:p>
    <w:p>
      <w:r>
        <w:rPr>
          <w:b/>
        </w:rPr>
        <w:t>E. 2.2.2</w:t>
      </w:r>
    </w:p>
    <w:p>
      <w:r>
        <w:t>La procédure devant l’autorité de protection est régie par les art. 443 ss CC. Les personnes concernées doivent être entendues</w:t>
      </w:r>
    </w:p>
    <w:p>
      <w:r>
        <w:t>- 11 -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w:t>
      </w:r>
    </w:p>
    <w:p>
      <w:r>
        <w:rPr>
          <w:b/>
        </w:rPr>
        <w:t>E. 2.3</w:t>
      </w:r>
    </w:p>
    <w:p>
      <w:r>
        <w:t>En l’espèce, la juge de paix a procédé à l’audition des parents de l’enfant, assistés de leur conseil respectif, lors de son audience du 8 mai 2025, de sorte que le droit d’être entendu de ceux-ci a été respecté. B.Z.________, alors âgée de cinq ans, était trop jeune pour être entendue. L’ordonnance entreprise est donc formellement correcte et peut être examinée sur le fond.</w:t>
      </w:r>
    </w:p>
    <w:p>
      <w:r>
        <w:rPr>
          <w:b/>
        </w:rPr>
        <w:t>E. 3.1</w:t>
      </w:r>
    </w:p>
    <w:p>
      <w:r>
        <w:t>La recourante invoque une motivation contradictoire de l’ordonnance attaquée.</w:t>
      </w:r>
    </w:p>
    <w:p>
      <w:r>
        <w:rPr>
          <w:b/>
        </w:rPr>
        <w:t>E. 3.2</w:t>
      </w:r>
    </w:p>
    <w:p>
      <w:r>
        <w:t>Elle relève d’abord que la juge de paix retient à juste titre que « des inquiétudes existent quant à une possible mise en danger du bon développement de l’enfant », mais considère pourtant que « le temps de l’enquête, il apparaît être néanmoins dans l’intérêt de B.Z.________ que les visites reprennent, afin de rétablir et conserver un lien avec son père ».</w:t>
      </w:r>
    </w:p>
    <w:p>
      <w:r>
        <w:t>- 12 - Le premier extrait de l’ordonnance cité par la recourante se réfère toutefois au conflit parental de manière générale, et en particulier à l’interruption des relations père-fille. On ne discerne dès lors aucune contradiction entre ce passage et le deuxième extrait que la mère lui oppose, selon lequel une reprise des visites pendant la durée de l’enquête est dans l’intérêt de l’enfant, afin de rétablir et conserver un lien avec son père. Le procédé de la recourante qui consiste à sortir le premier extrait de son contexte pour tenter de l’opposer au deuxième extrait confine à l’abus de droit.</w:t>
      </w:r>
    </w:p>
    <w:p>
      <w:r>
        <w:rPr>
          <w:b/>
        </w:rPr>
        <w:t>E. 3.2.2</w:t>
      </w:r>
    </w:p>
    <w:p>
      <w:r>
        <w:t>et la jurisprudence citée ; Meier/Stettler, op. cit., nn. 790 ss, pp. 521 ss). Le droit de visite surveillé tend à mettre efficacement l'enfant hors de danger, à désamorcer des situations de crise, à réduire les craintes et à contribuer à l'amélioration des relations avec l'enfant et entre les parents ; il permet d’assurer une surveillance directe du droit de visite, de rassurer le parent gardien et d’encadrer la relation entre l’enfant et le parent non gardien en offrant à ce dernier un cadre de confiance grâce auquel il pourra recevoir des conseils et informations pour exercer au mieux son droit de visite avec la possibilité d’obtenir un jour son élargissement (Guillaume Choffat, Panorama sur les curatelles de protection du mineur et les mesures de protection moins incisives, Revue de l’avocat 10/2017, p.</w:t>
      </w:r>
    </w:p>
    <w:p>
      <w:r>
        <w:t>- 17 - 414). Il constitue en principe une solution provisoire et ne peut donc être ordonné que pour une durée limitée. Il convient toutefois de réserver les cas où il apparaît d'emblée que les visites ne pourront pas, dans un proche avenir, être effectuées sans accompagnement (TF 5A_874/2021 du 13 mai 2022 consid. 4.1.1 ; TF 5A_184/2017 du 9 juin 2017 consid. 4.1 et les références citées).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5A_184/2017 du 9 juin 2017 consid. 4.1).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publié in FamPra.ch 2008 p. 172).</w:t>
      </w:r>
    </w:p>
    <w:p>
      <w:r>
        <w:rPr>
          <w:b/>
        </w:rPr>
        <w:t>E. 3.3</w:t>
      </w:r>
    </w:p>
    <w:p>
      <w:r>
        <w:t>La recourante constate ensuite que l’ordonnance entreprise indique « qu’il est toutefois nécessaire, au vu du conflit parental, de l’absence de contact père-fille depuis plusieurs mois et des événements passés, que le passage de l’enfant se fasse par un tiers neutre et que les visites soient encadrées afin d’assurer la sécurité de l’enfant », mais mentionne « que des visites médiatisées, par Point Rencontre avec possibilité de sortir des locaux, paraissent ainsi opportunes et conformes aux intérêts de B.Z.________ ». Il n’y a pas davantage de contradiction entre ces deux passages invoqués par la recourante. En effet, l’encadrement et la sécurisation des droits de visite n’impliquent pas nécessairement une interdiction de sortir des locaux, cette interdiction n’étant au demeurant prévue que dans une minorité des cas dans lesquels la nécessité d’un encadrement et d’une sécurisation des relations personnelles conduit au prononcé d’une obligation d’exercer le droit de visite par l’intermédiaire de Point Rencontre. Là encore, la recourante joue sur les mots et tente d’éluder l’examen de la seule question pertinente, soit celle de savoir s’il existe des motifs justifiant d’empêcher le père de sortir avec sa fille des locaux de Point Rencontre lors de l’exercice de son droit de visite.</w:t>
      </w:r>
    </w:p>
    <w:p>
      <w:r>
        <w:rPr>
          <w:b/>
        </w:rPr>
        <w:t>E. 3.4</w:t>
      </w:r>
    </w:p>
    <w:p>
      <w:r>
        <w:t>Le moyen tiré de prétendues contradictions dans la motivation de l’ordonnance attaquée est par conséquent manifestement infondé.</w:t>
      </w:r>
    </w:p>
    <w:p>
      <w:r>
        <w:t>- 13 -</w:t>
      </w:r>
    </w:p>
    <w:p>
      <w:r>
        <w:rPr>
          <w:b/>
        </w:rPr>
        <w:t>E. 4</w:t>
      </w:r>
    </w:p>
    <w:p>
      <w:r>
        <w:t>octobre 2024, il aurait, selon la mère, menacé d’enlever leur fille, ce qui a donné lieu à une nouvelle dispute à l’issue de laquelle A.Z.________ a pris la décision de couper tout contact. Depuis cette date, l’intimé n’a plus vu sa fille, hormis dans un parc en février 2025. Si L.________ a certes usé de violences physiques à l’encontre de la recourante, ce qu’il a du reste admis lors de l’audience du 8 mai 2025, la mère ne prétend pas, ni ne tente de rendre un tant soit peu vraisemblable, qu’il aurait également été violent envers leur fille. Certes, B.Z.________ a été impliquée dans cette situation puisqu’elle a assisté à ces épisodes de violences, à tout le moins à une reprise de l’aveu même</w:t>
      </w:r>
    </w:p>
    <w:p>
      <w:r>
        <w:t>- 19 - du père, et aurait même tenté d’intervenir à une occasion. Rien ne laisse toutefois craindre que l’intimé, voyant sa fille sans la présence de la mère, adopte un comportement violent. Quant au risque d’instrumentalisation de l’enfant invoqué par la recourante, qui se réfère à cet égard à l’incident de février 2025, il convient de constater qu’il s’agit d’un événement isolé, qui s’est produit à un moment où le père n’avait aucune perspective de revoir sa fille. Par ailleurs, son déroulement ne dénote pas une volonté de manipuler B.Z.________. Le fait que le père ait pleuré devant son enfant et qu’il l’ait assurée de tout faire pour pouvoir la revoir – à supposer ces faits établis – pose certes un problème pour B.Z.________, mais ne signifie pas que l’intimé ait cherché à la monter contre sa mère. S’agissant de la tentative de suicide de L.________, rien n’indique qu’elle pourrait être réitérée, encore moins qu’elle pourrait l’être en présence de sa fille. Enfin, il ne faut pas perdre de vue que les intervenants de Point Rencontre font un rapide débriefing à l’issue des visites. Il n’y a dès lors aucune raison fondée de contraindre B.Z.________ et son père à rester à l’intérieur des locaux pendant les visites, une fois passées avec succès les deux premières rencontres de deux heures sans sortie prévues par les principes de fonctionnement de Point Rencontre.</w:t>
      </w:r>
    </w:p>
    <w:p>
      <w:r>
        <w:rPr>
          <w:b/>
        </w:rPr>
        <w:t>E. 4.1</w:t>
      </w:r>
    </w:p>
    <w:p>
      <w:r>
        <w:t>La recourante fait valoir que si la première juge considérait qu’un droit de visite médiatisé devait être mis en œuvre pendant la durée de l’enquête, elle aurait dû le prévoir par l’intermédiaire d’Espace Contact et non pas de Point Rencontre, encore moins avec une autorisation de sortir des locaux. Elle affirme que la présence d’un tiers est absolument indispensable en raison des inquiétudes liées aux problèmes de violence de l’intimé et des tentatives d’instrumentalisation de l’enfant. A cet égard, elle évoque la visite de L.________ à l’école de B.Z.________ en février 2025, reprochant au père d’adopter un comportement consistant à se victimiser (pleurs devant l’enfant) et à culpabiliser la mère, laissant entendre qu’elle est responsable de la situation en promettant à sa fille qu’il va tout faire pour qu’ils puissent se revoir. Cela étant, la recourante estime qu’une reprise provisoire du droit de visite du père, même de manière surveillée, n’est pas conforme à l’intérêt supérieur de B.Z.________. Elle déclare qu’afin de protéger l’enfant et de ne pas prendre un risque précipité de l’exposer à une mise en danger, il y a lieu de suspendre le droit de visite de L.________ dans l’attente du résultat de l’enquête menée par l’UEMS de la DGEJ. Elle rappelle que le droit de visite n’est plus exercé depuis octobre 2024 et que B.Z.________ refuse de voir son père, qu’elle qualifie de méchant et dit ne pas aimer. Elle indique qu’il est fortement à craindre que sa fille souffre d’un certain traumatisme lié à son père, s’étant déjà battue physiquement avec lui pour défendre sa mère. La recourante soutient que l’intimé doit effectuer un travail personnel important avant une reprise de son droit de visite. Elle relève que son état est manifestement instable, évoquant les violences domestiques à son encontre et sur d’autres femmes, ainsi que les menaces du père de se suicider et d’enlever B.Z.________.</w:t>
      </w:r>
    </w:p>
    <w:p>
      <w:r>
        <w:rPr>
          <w:b/>
        </w:rPr>
        <w:t>E. 4.2.1</w:t>
      </w:r>
    </w:p>
    <w:p>
      <w:r>
        <w:t>Selon l'art. 273 al. 1 CC, le père ou la mère qui ne détient pas l'autorité parentale ou la garde ainsi que l'enfant mineur ont</w:t>
      </w:r>
    </w:p>
    <w:p>
      <w:r>
        <w:t>- 14 -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w:t>
      </w:r>
    </w:p>
    <w:p>
      <w:r>
        <w:t>- 15 -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4.2.2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TF 5A_877/2013 du 10 février 2014 consid. 6.1 ; TF 5A_448/2008 du 2 octobre 2008 consid. 4.1).</w:t>
      </w:r>
    </w:p>
    <w:p>
      <w:r>
        <w:t>- 16 -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L'institution d'un droit de visite surveillé nécessite des indices concrets de mise en danger du bien de l’enfant (ATF 122 III 404). Il ne suffit pas que ce dernier risque abstraitement de subir une mauvaise influence pour qu’un tel droit de visite soit instauré. Il convient dès lors de faire preuve d’une certaine retenue lors du choix de cette mesure (TF 5A_334/2018 du 7 août 2018 consid. 3.1 ; TF 5A_699/2017 du 24 octobre 2017 consid. 5.7 ; TF 5A_401/2014 du 18 août 2014 consid.</w:t>
      </w:r>
    </w:p>
    <w:p>
      <w:r>
        <w:rPr>
          <w:b/>
        </w:rPr>
        <w:t>E. 4.2.3</w:t>
      </w:r>
    </w:p>
    <w:p>
      <w:r>
        <w:t>L'appréciation des circonstances de fait pour fixer le droit aux relations personnelles des art. 273 et 274 CC, c'est-à-dire la détermination de leur portée juridique, est une question de droit. Le juge du fait qui, par son expérience en la matière, connaît mieux les parties et le milieu dans lequel l'enfant évolue, dispose d'un large pouvoir d'appréciation en vertu de l'art. 4 CC. 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w:t>
      </w:r>
    </w:p>
    <w:p>
      <w:r>
        <w:t>- 18 -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4.3</w:t>
      </w:r>
    </w:p>
    <w:p>
      <w:r>
        <w:t>En l’espèce, il ressort du dossier que les parents de B.Z.________ sont séparés de longue date, qu’un important conflit les divise et que le droit de visite du père n’avait pas été fixé par une décision judiciaire. De juin 2021 à octobre 2023, L.________ a ainsi exercé un droit de visite « à la carte » au domicile de la mère. Celle-ci a cependant mis un terme aux rencontres à plusieurs reprises, reprochant à l’intimé des violences à son égard en présence de leur fille et de ne pas respecter les jours et les heures de visite qu’il avait lui-même imposés. En octobre 2023, B.Z.________ a assisté à un épisode de violences entre ses parents et est intervenue pour défendre sa mère. Cet événement a conduit A.Z.________ à interrompre une nouvelle fois les visites père-fille. B.Z.________ n’a ainsi plus revu l’intimé jusqu’en mars 2024, où ils ont repris des relations personnelles à la demande de l’enfant. Durant l’été 2024, L.________ a écrit à la recourante qu’il avait tenté de se suicider et le</w:t>
      </w:r>
    </w:p>
    <w:p>
      <w:r>
        <w:rPr>
          <w:b/>
        </w:rPr>
        <w:t>E. 5.1</w:t>
      </w:r>
    </w:p>
    <w:p>
      <w:r>
        <w:t>En conclusion, le recours de A.Z.________ doit être rejeté et l’ordonnance entreprise confirmée.</w:t>
      </w:r>
    </w:p>
    <w:p>
      <w:r>
        <w:rPr>
          <w:b/>
        </w:rPr>
        <w:t>E. 5.2.1</w:t>
      </w:r>
    </w:p>
    <w:p>
      <w:r>
        <w:t>La recourante a requis l’assistance judiciaire pour la procédure de recours.</w:t>
      </w:r>
    </w:p>
    <w:p>
      <w:r>
        <w:t>- 20 -</w:t>
      </w:r>
    </w:p>
    <w:p>
      <w:r>
        <w:rPr>
          <w:b/>
        </w:rPr>
        <w:t>E. 5.2.2</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5.2.3</w:t>
      </w:r>
    </w:p>
    <w:p>
      <w:r>
        <w:t>La recourante ne fait valoir aucun élément, ni début d’élément, qui pourrait faire craindre qu’en prévoyant un droit de visite à exercer au Point Rencontre deux fois par mois, pour une durée maximale de trois heures, avec possibilité de sortir des locaux, la juge de paix ait laissé subsister un risque inadmissible pour l’enfant. Son recours était dès lors d’emblée dépourvu de toute chance de succès, de sorte que sa requête d’assistance judiciaire doit être rejetée.</w:t>
      </w:r>
    </w:p>
    <w:p>
      <w:r>
        <w:rPr>
          <w:b/>
        </w:rPr>
        <w:t>E. 5.3</w:t>
      </w:r>
    </w:p>
    <w:p>
      <w:r>
        <w:t>Les frais judiciaires de deuxième instance, arrêtés à 750 fr., soit 600 fr. pour l’émolument forfaitaire de décision (art. 74a al. 1 TFJC [Tarif du 28 septembre 2010 des frais judiciaires civils ; BLV 270.11.5]) et 150 fr. pour l’ordonnance sur effet suspensif (art. 60 al. 1 TFJC appliqué par analogie en vertu de l’art. 7 al. 1 TFJC), sont mis à la charge de la recourante, qui succombe (art. 106 al. 1 CPC).</w:t>
      </w:r>
    </w:p>
    <w:p>
      <w:r>
        <w:rPr>
          <w:b/>
        </w:rPr>
        <w:t>E. 5.4</w:t>
      </w:r>
    </w:p>
    <w:p>
      <w:r>
        <w:t>Selon l’art. 118 al. 1 CPC, le droit à l'assistance judiciaire comprend l’exonération des avances et sûretés (let. a) et des frais judiciaires (let. b), ainsi que la commission d'office d'un conseil juridique lorsque la défense des droits du requérant l'exige (let. c). En l’espèce, aucun frais n’est mis à la charge de L.________. Dans la mesure où sa requête d’assistance judiciaire tend à l’exonération des avances de frais et des frais judiciaires eux-mêmes, elle est sans objet. Pour le surplus, l’intimé n’a pas été invité à procéder, ni sur la requête d’effet suspensif, ni sur le recours. La défense de ses intérêts n’exige donc pas la désignation d’un avocat d’office. Partant, dans la</w:t>
      </w:r>
    </w:p>
    <w:p>
      <w:r>
        <w:t>- 21 - mesure où elle a un objet, la requête d’assistance judicaire de L.________ doit être rejetée.</w:t>
      </w:r>
    </w:p>
    <w:p>
      <w:r>
        <w:rPr>
          <w:b/>
        </w:rPr>
        <w:t>E. 5.5</w:t>
      </w:r>
    </w:p>
    <w:p>
      <w:r>
        <w:t>L’intimé ayant procédé sans y avoir été invité, il ne saurait prétendre à des dépens pour ses déterminations sur la requête d’effet suspensif. Il n’y a donc pas lieu à l’allocation de dépens. Par ces motifs, la Chambre des curatelles du Tribunal cantonal, statuant à huis clos, prononce : I. Le recours est rejeté. II. L’ordonnance de mesures provisionnelles est confirmée. III. La requête d’assistance judiciaire de A.Z.________ est rejetée. IV. Les frais judiciaires de deuxième instance, arrêtés à 750 fr. (sept cent cinquante francs), sont mis à la charge de la recourante A.Z.________. V. La requête d’assistance judiciaire de L.________ est rejetée. VI. Il n’est pas alloué de dépens.</w:t>
      </w:r>
    </w:p>
    <w:p>
      <w:r>
        <w:t>- 22 - VII. L'arrêt est exécutoire. La présidente : La greffière : Du L'arrêt qui précède, dont la rédaction a été approuvée à huis clos, est notifié à : - Me Louis Dudenhoeffer (pour Mme L.________), - Me Laurent Maire (pour M. L.________), - Direction générale de l’enfance et de la jeunesse, UEMS, - Point Rencontre, Fondation Jeunesse et Familles,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