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KE20.004561 vom 30. März 2021</w:t>
      </w:r>
    </w:p>
    <w:p>
      <w:r>
        <w:t>VD Tribunal cantonal, 2021-03-30, FR</w:t>
      </w:r>
    </w:p>
    <w:p>
      <w:r>
        <w:rPr>
          <w:b/>
        </w:rPr>
        <w:t xml:space="preserve">Quelle: </w:t>
      </w:r>
      <w:r>
        <w:t>https://mcp.opencaselaw.ch/entscheid/vd_gerichte_KE20.004561</w:t>
      </w:r>
    </w:p>
    <w:p>
      <w:r>
        <w:t>FR: VD_GERICHTE KE20.004561 du 30 mars 2021</w:t>
      </w:r>
    </w:p>
    <w:p>
      <w:r>
        <w:t>IT: VD_GERICHTE KE20.004561 del 30 marzo 2021</w:t>
      </w:r>
    </w:p>
    <w:p>
      <w:pPr>
        <w:pStyle w:val="Heading2"/>
      </w:pPr>
      <w:r>
        <w:t>Erwägungen</w:t>
      </w:r>
    </w:p>
    <w:p>
      <w:r>
        <w:rPr>
          <w:b/>
        </w:rPr>
        <w:t>E. 48</w:t>
      </w:r>
    </w:p>
    <w:p>
      <w:r>
        <w:t>consid. 4.1.1 et les références). II. a)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107 III 33 consid. 2 ; TF 5A_205/2016 du 7 juin 2016</w:t>
      </w:r>
    </w:p>
    <w:p>
      <w:r>
        <w:t>- 11 -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5A_205/2016 du 7 juin 2016 consid. 7.1 ; TF 5A_482/2010 du 16 septembre 2010 consid. 2.1 et réf. cit.). S'agissant de l'application du droit, le juge procède à un examen sommaire du bien- fondé juridique, c'est-à-dire un examen qui n'est ni définitif, ni complet, au terme duquel il rend une décision provisoire (ATF 138 III 232 consid. 4.1.1 ; TF 5A_925/2012 du 5 avril 2013 consid. 9.2 et réf. cit. ; TF 5A_205/2016 du 7 juin 2016 consid. 7.1). b) 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 il rend la créance exigible à l’égard du débiteur (art. 271 al. 2 LP). La réalisation de ce cas de séquestre repose sur un élément objectif et un élément subjectif (Stoffel/Chabloz, in Dallèves/Foëx/Jeandin (éd.), Commentaire romand, Poursuite et faillite, n. 53 ad art. 271 LP).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(Stoffel/Chabloz, op. cit., n. 55 ad art. 271 LP). Le Tribunal fédéral a jugé que l’élément objectif suppose que les préparatifs de fuite soient accomplis dans des conditions de rapidité et</w:t>
      </w:r>
    </w:p>
    <w:p>
      <w:r>
        <w:t>- 12 - de clandestinité telles qu’elles trahissent la volonté du débiteur de ne pas honorer ses engagements (TF 5A_818/2013 du 21 février 2014 consid. 3.2 et réf. cit.).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8 juin 2020/182 ; CPF 21 février 2008/46). Le cas de séquestre est réalisé lorsque le débiteur cèle les objets de son patrimoine du fait qu'il les cache, en fait donation, les vend à vil prix, les emporte à l'étranger ou les met en gage sans explication plausible (ATF 119 III 92 consid. 3b ; TF 5P.95/2004 du 20 août 2004 ; TF 5P.403/1999 du 13 janvier 2000 consid. 2c ; TF 5P.303/1993 du 6 décembre 1993 consid. 2 ; CPF 28 septembre 2015/276 ; CPF 16 mai 2014/184). L’élément subjectif tient dans l’intention du débiteur de se soustraire à ses obligations. Les éléments objectifs précités constituent des indices d’une telle intention (Stoffel/Chabloz, op. cit., n. 56 ad art. 271 LP). c) aa) Le recourant soutient que le seul fait de tenter de vendre les immeubles, même à la valeur vénale réelle, serait suffisant comme élément objectif. Pour lui, il est évident que le bénéfice de la vente serait immédiatement transféré en Russie, parce qu’il avait annoncé son intention de poursuivre les organes de l’emprunteuse faillie, qu’il a effectivement ouvert action civile mais aussi déposé une plainte pénale, que l’intimée est russe et entretient des relations étroites avec son pays d’origine où se trouve le père de son enfant, à qui d’ailleurs une partie de l’argent du prêt a été versée. Le recourant voit aussi un indice d’une volonté de fuite dans le fait que l’intimée n’a pas donné suite à sa demande d’ouvrir sa porte à un expert immobilier mandaté par lui. Il estime que le fait qu’elle ait fait paraître des annonces ne permettrait pas d’en déduire qu’elle avait l’intention de respecter ses obligations. bb) L’intimée fait valoir qu’elle cherche depuis longtemps à vendre ses parcelles pour réduire ses charges, que par ailleurs elle a</w:t>
      </w:r>
    </w:p>
    <w:p>
      <w:r>
        <w:t>- 13 - cherché un autre logement moins cher, qu’elle n’avait pas à ouvrir sa porte à l’expert du recourant, qu’elle est installée en Suisse de longue date avec son fils lourdement handicapé qui serait moins bien soigné en Russie et qu’elle a divorcé du père. Elle conteste la créance du séquestrant. cc) Les motifs pour lesquels le premier juge a considéré que le cas de séquestre invoqué n’était pas réalisé en l’espèce sont aussi convaincants que pertinents et doivent être confirmés. Comme ce magistrat l’a constaté à raison, l’intimée n’a pas tenté de cacher ses démarches de vente. Il n’y a aucun indice d’une volonté de sa part de quitter la Suisse ou de transférer un éventuel prix de vente à l’étranger. Le recourant tente de renverser le fardeau de la preuve lorsqu’il prétend qu’il n’est pas établi que l’intéressée voudrait respecter ses obligations : c’est à lui de rendre le contraire vraisemblable. La nationalité étrangère de l’intimée - tandis que son fils a la nationalité suisse -, le caractère international de ses affaires de l’époque du prêt et le fait que son ex-mari vive à l’étranger ne sont pas des indices d’une volonté de fuir pour se soustraire à ses obligations. L’intimée a en outre raison de dire qu’elle n’était aucunement tenue de permettre à un expert du recourant de visiter sa maison, alors que la créance prétendue de ce dernier n’est à ce stade pas reconnue judiciairement. Le recourant échoue donc à rendre vraisemblable l’existence du cas de séquestre qu’il invoque. III. En conclusion, le recours doit être rejeté et le prononcé confirmé. Les frais judiciaires de deuxième instance, arrêtés à 2'700 fr., doivent être mis à la charge du recourant (art. 106 al. 1 CPC), qui en a déjà fait l’avance. Ce dernier doit en outre verser à l’intimée des dépens de deuxième instance, arrêtés à 4'080 fr., débours inclus (art. 3, 8 et 19 al. 2 TDC [tarif des dépens en matière civile ; BLV 270.11.6]).</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