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KE18.020106 vom 27. Dezember 2018</w:t>
      </w:r>
    </w:p>
    <w:p>
      <w:r>
        <w:t>VD Tribunal cantonal, 2018-12-27, FR</w:t>
      </w:r>
    </w:p>
    <w:p>
      <w:r>
        <w:rPr>
          <w:b/>
        </w:rPr>
        <w:t xml:space="preserve">Quelle: </w:t>
      </w:r>
      <w:r>
        <w:t>https://mcp.opencaselaw.ch/entscheid/vd_gerichte_KE18.020106</w:t>
      </w:r>
    </w:p>
    <w:p>
      <w:r>
        <w:t>FR: VD_GERICHTE KE18.020106 du 27 décembre 2018</w:t>
      </w:r>
    </w:p>
    <w:p>
      <w:r>
        <w:t>IT: VD_GERICHTE KE18.020106 del 27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b CPC), on peut admettre qu’en concluant, dans son recours, à ce que l’intimé soit condamné à payer l’intégralité des frais de la procédure, le recourant a conclu à l’allocation de dépens de deuxième instance (TF 4A_45/2013 du 6 juin 2013 consid. 7). Au titre de pleins dépens, il aurait droit à un montant de 1'000 fr. (art. 8 TDC). Ce montant doit toutefois être réduit à 800 fr. pour tenir compte du fait que le conseil du recourant est aussi intervenu dans la procédure parallèle (KE18.020118-181430), présentant une problématique similaire, dans laquelle son client obtient également gain de cause et se voit allouer des dépens (art. 20 al. 2 TDC ; TF 4A_93/2010 du 9 juin 2010 consid. 4).</w:t>
      </w:r>
    </w:p>
    <w:p>
      <w:r>
        <w:t>- 14 -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