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KD23.040411 vom 31. Juli 2024</w:t>
      </w:r>
    </w:p>
    <w:p>
      <w:r>
        <w:t>VD Tribunal cantonal, 2024-07-31, FR</w:t>
      </w:r>
    </w:p>
    <w:p>
      <w:r>
        <w:rPr>
          <w:b/>
        </w:rPr>
        <w:t xml:space="preserve">Quelle: </w:t>
      </w:r>
      <w:r>
        <w:t>https://mcp.opencaselaw.ch/entscheid/vd_gerichte_KD23.040411</w:t>
      </w:r>
    </w:p>
    <w:p>
      <w:r>
        <w:t>FR: VD_GERICHTE KD23.040411 du 31 juillet 2024</w:t>
      </w:r>
    </w:p>
    <w:p>
      <w:r>
        <w:t>IT: VD_GERICHTE KD23.040411 del 31 luglio 2024</w:t>
      </w:r>
    </w:p>
    <w:p>
      <w:pPr>
        <w:pStyle w:val="Heading2"/>
      </w:pPr>
      <w:r>
        <w:t>Volltext</w:t>
      </w:r>
    </w:p>
    <w:p>
      <w:r>
        <w:t>TRIBUNAL CANTONAL KD23.040411-240806 132 CO UR DE S P OURSUITES ET FAILL ITES ________________________________________________ Arrêt du 31 juillet 2024 __________________ Composition :M. HACK, président Mmes Byrde et Giroud Walther, juges Greffier : M. Elsig ***** Art. 265a al. 1 LP Vu le prononcé non motivé rendu le 7 mai 2024, à la suite de l’audience du 30 avril 2024, par le Juge de paix du district de Nyon, déclarant irrecevable à concurrence de 368 fr. 20 par mois l’exception de non-retour à meilleure fortune formée par X.________, à [...], dans la poursuite n° 10'937'498 de l’Office des poursuites du district de Nyon introduite par ETAT DE VAUD, représenté par le Département des institutions, du territoire et du sport, DGAIC, Direction recouvrement – AJ, à Lausanne, vu la demande de motivation de ce prononcé déposée le 17 mai 2024 par le poursuivant, 111</w:t>
      </w:r>
    </w:p>
    <w:p>
      <w:r>
        <w:t>- 2 - vu les motifs du prononcé adressés aux parties le 4 juin 2024 et notifiés au poursuivi le lendemain, indiquant qu’un recours pouvait être formé contre la décision statuant sur les frais dans un délai de dix jours, vu l’écriture du poursuivi déposée à la poste le 6 juin 2024 soutenant qu’il n’était pas revenu à meilleure fortune, vu les autres pièces du dossier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141 III 188 consid. 4.2 ; TF 5D_226/2019 du 8 janvier 2020 consid. 5.1 ; Huber/Sogo, in Staehelin/Bauer/ 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2014, n. 8 ad art. 365a LP), qu’ainsi, les parties ne sont pas admises à discuter en recours les conditions matérielles du retour à meilleure fortune, puisque celles-ci doivent être examinées dans le cadre de l’action prévue par l’art. 265a al. 4 LP (ATF 141 III 188 consid. 4.2) ; attendu que le recourant soutient qu’il n’est pas revenu à meilleure fortune,</w:t>
      </w:r>
    </w:p>
    <w:p>
      <w:r>
        <w:t>- 3 - que cet argument n’est pas recevable par la voie du recours contre le prononcé du juge de paix en procédure sommaire, vu ce qui vient d’être exposé, que le recourant ne remet pas en question le montant des frais et leur mise à sa charge, que le recours est ainsi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- 4 - - M. X.________, - Département des institutions, du territoire et du sport, DGAIC, Direction recouvrement – AJ (pour Etat de Vaud). La Cour des poursuites et faillites considère que la valeur litigieuse est de 8'666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