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KD23.035590 vom 3. Juni 2024</w:t>
      </w:r>
    </w:p>
    <w:p>
      <w:r>
        <w:t>VD Tribunal cantonal, 2024-06-03, FR</w:t>
      </w:r>
    </w:p>
    <w:p>
      <w:r>
        <w:rPr>
          <w:b/>
        </w:rPr>
        <w:t xml:space="preserve">Quelle: </w:t>
      </w:r>
      <w:r>
        <w:t>https://mcp.opencaselaw.ch/entscheid/vd_gerichte_KD23.035590</w:t>
      </w:r>
    </w:p>
    <w:p>
      <w:r>
        <w:t>FR: VD_GERICHTE KD23.035590 du 3 juin 2024</w:t>
      </w:r>
    </w:p>
    <w:p>
      <w:r>
        <w:t>IT: VD_GERICHTE KD23.035590 del 3 giugno 2024</w:t>
      </w:r>
    </w:p>
    <w:p>
      <w:pPr>
        <w:pStyle w:val="Heading2"/>
      </w:pPr>
      <w:r>
        <w:t>Volltext</w:t>
      </w:r>
    </w:p>
    <w:p>
      <w:r>
        <w:t>TRIBUNAL CANTONAL KD23.035590-240354 82 CO UR DE S P OURSUITES ET FAILL ITES ________________________________________________ Arrêt du 3 juin 2024 __________________ Composition :M. HACK, président Mmes Byrde et Giroud Walther, juges Greffier : Mme Joye ***** Art. 265a al. 1 LP Vu le prononcé rendu le 26 février 2024, notifié le 1er mars 2024 à B.________ (poursuivi), par lequel le Juge de paix des districts du Jura-Nord vaudois et du Gros-de-Vaud a déclaré irrecevable l’exception de non-retour à meilleure fortune du poursuivi, à concurrence de 230 fr., ...]ans le cadre de la pour-suite ordinaire n° 10'871’409 de l’Office des poursuites du district du Gros-de-Vaud exercée par SUVA, représentée par [...] (I), a mis les frais judiciaires, fixés à 210 fr., à la charge du poursuivi (II et III) et a dit qu’il n’était pas alloué de dépens (IV), 111</w:t>
      </w:r>
    </w:p>
    <w:p>
      <w:r>
        <w:t>- 2 - vu l’acte de recours daté du 9 mars et reçu au greffe de la justice de paix le 11 mars 2023, déposé par le poursuivi, qui fait valoir qu’il pas revenu à meilleure fortune, vu les autres pièces du dossier ; attendu que selon l’art. 265a al. 1 LP (loi fédérale du 11 avril 1889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(ATF 141 III 188 consid. 4.2 ; TF 5D_226/2019 du 8 janvier 2020 consid. 5.1 ; Huber/Sogo, in Staehelin/Bauer/ Lorandi (éd.), Basler Kommentar SchKG II, 3e éd. 2021,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non-retour ou du retour à meilleure fortune (Näf, in Hunkeler (éd.), Kurzkommentar SchKG, 2e éd., 2014, n. 8 ad art. 265a LP), qu’ainsi, les parties ne sont pas admises à discuter en recours les conditions matérielles du retour à meilleure fortune, puisque celles-ci doivent être examinées dans le cadre de l’action prévue par l’art. 265a al. 4 LP (ATF 141 III 188 consid. 4.2) ; attendu que le recourant soutient qu’il n’est pas revenu à meilleure fortune, ce qui n’est pas admissible par la voie du recours contre le prononcé du juge de paix en procédure sommaire, vu la réglementation qui précède,</w:t>
      </w:r>
    </w:p>
    <w:p>
      <w:r>
        <w:t>- 3 - que le recourant ne remet pas en question le montant des frais et leur mise à sa charge, que le recours est ainsi irrecevable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B.________, - [...] (pour SUVA).</w:t>
      </w:r>
    </w:p>
    <w:p>
      <w:r>
        <w:t>- 4 - La Cour des poursuites et faillites considère que la valeur litigieuse est de 10'357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