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KD19.044980 vom 27. November 2019</w:t>
      </w:r>
    </w:p>
    <w:p>
      <w:r>
        <w:t>VD Tribunal cantonal, 2019-11-27, FR</w:t>
      </w:r>
    </w:p>
    <w:p>
      <w:r>
        <w:rPr>
          <w:b/>
        </w:rPr>
        <w:t xml:space="preserve">Quelle: </w:t>
      </w:r>
      <w:r>
        <w:t>https://mcp.opencaselaw.ch/entscheid/vd_gerichte_KD19.044980</w:t>
      </w:r>
    </w:p>
    <w:p>
      <w:r>
        <w:t>FR: VD_GERICHTE KD19.044980 du 27 novembre 2019</w:t>
      </w:r>
    </w:p>
    <w:p>
      <w:r>
        <w:t>IT: VD_GERICHTE KD19.044980 del 27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1er novembre 2019, la Juge de paix du district d’Aigle a refusé d’entrer en matière sur l’action en constatation de retour à meilleure fortune déposée par W.________ contre F.________, dès lors que la valeur litigieuse de la cause, par 34'857 fr. 35, excédait la compétence ratione valoris du juge de paix. Elle a en conséquence rayé la cause du rôle, sans frais ni dépens. En droit, le premier juge a retenu qu’W.________ avait déposé une action en constatation de retour à meilleure fortune selon l’art. 265 al.</w:t>
      </w:r>
    </w:p>
    <w:p>
      <w:r>
        <w:rPr>
          <w:b/>
        </w:rPr>
        <w:t>E. 4</w:t>
      </w:r>
    </w:p>
    <w:p>
      <w:r>
        <w:t>Au vu de ce qui précède, l’appel doit être déclaré irrecevable selon le mode procédural de l’art. 312 al. 1 CPC. L’arrêt peut être rendu sans frais judiciaires de deuxième instance (art. 11 TFJC [tarif des frais judiciaires civils du 28 septembre 2010 ; BLV 270.11.5]). L’intimé n’ayant pas été invité à se déterminer, il n’y a pas lieu à l’allocation de dépens.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