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KD17.018274 vom 29. Dezember 2017</w:t>
      </w:r>
    </w:p>
    <w:p>
      <w:r>
        <w:t>VD Tribunal cantonal, 2017-12-29, FR</w:t>
      </w:r>
    </w:p>
    <w:p>
      <w:r>
        <w:rPr>
          <w:b/>
        </w:rPr>
        <w:t xml:space="preserve">Quelle: </w:t>
      </w:r>
      <w:r>
        <w:t>https://mcp.opencaselaw.ch/entscheid/vd_gerichte_KD17.018274</w:t>
      </w:r>
    </w:p>
    <w:p>
      <w:r>
        <w:t>FR: VD_GERICHTE KD17.018274 du 29 décembre 2017</w:t>
      </w:r>
    </w:p>
    <w:p>
      <w:r>
        <w:t>IT: VD_GERICHTE KD17.018274 del 29 dicembre 2017</w:t>
      </w:r>
    </w:p>
    <w:p>
      <w:pPr>
        <w:pStyle w:val="Heading2"/>
      </w:pPr>
      <w:r>
        <w:t>Erwägungen</w:t>
      </w:r>
    </w:p>
    <w:p>
      <w:r>
        <w:rPr>
          <w:b/>
        </w:rPr>
        <w:t>E. 1</w:t>
      </w:r>
    </w:p>
    <w:p>
      <w:r>
        <w:t>Le 10 février 2017, à la réquisition de l’Etat de Vaud, représenté par l’Administration cantonale des impôts, Division perception et finances, l’Office des poursuites du district de Lausanne a notifié à X.________, dans la poursuite n° 8'167'933, un commandement de payer les sommes de 1) 2'089 fr. 25 avec intérêt à 3 % l’an dès le 4 octobre 2016, de 2) 7 fr. 65 sans intérêt, de 3) 16 fr. sans intérêt et de 4) 261 fr. 60 sans intérêt, indiquant comme titre de la créance ou cause de l’obligation : « 1. Impôt sur le revenu et la fortune 2010 (Etat de Vaud et commune de [...]), selon décision de taxation du 24.08.2016 et décompte final du 24.08.2016 ; sommation adressée le 20.12.2016.</w:t>
      </w:r>
    </w:p>
    <w:p>
      <w:r>
        <w:rPr>
          <w:b/>
        </w:rPr>
        <w:t>E. 2</w:t>
      </w:r>
    </w:p>
    <w:p>
      <w:r>
        <w:t>Intérêts moratoires sur acomptes.</w:t>
      </w:r>
    </w:p>
    <w:p>
      <w:r>
        <w:rPr>
          <w:b/>
        </w:rPr>
        <w:t>E. 3</w:t>
      </w:r>
    </w:p>
    <w:p>
      <w:r>
        <w:t>Intérêts compensatoires.</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150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 Etat de Vaud s’est déterminé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le premier juge a rendu successivement deux dispositifs matériellement contraires, le premier déclarant recevable, et le second irrecevable, l’opposition pour non-retour à meilleure fortune</w:t>
      </w:r>
    </w:p>
    <w:p>
      <w:r>
        <w:t>- 5 -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X.________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 l’est aussi (art. 322 al. 2 CPC); la pièce qu’il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 motivation n’est pas demandée, les parties sont considérées avoir renoncé</w:t>
      </w:r>
    </w:p>
    <w:p>
      <w:r>
        <w:t>- 6 -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 c) Selon la jurisprudence, une décision judiciaire est nulle si le vice dont elle est entachée est particulièrement grave et manifeste, et si</w:t>
      </w:r>
    </w:p>
    <w:p>
      <w:r>
        <w:t>- 7 -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 du 3 mai 2017, par laquelle il invoque que le recourant n’a pas été déclaré en faillite, devrait ou aurait dû être considérée comme une plainte au sens de l’art. 17 LP.</w:t>
      </w:r>
    </w:p>
    <w:p>
      <w:r>
        <w:t>- 8 -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 a fait valoir que le recourant n’avait jamais été déclaré en faillite, en a déduit que l’opposition pour non-retour à meilleure fortune était irrecevable et a requis du juge qu’il constate cette irrecevabilité. Ce faisant, il n’a pas déclaré qu’il considérait que la décision de l’office de transmettre la cause au juge était contraire à la loi ; il ne s’est pas non plus adressé à l’office pour protester contre cette manière de faire. Du point de vue formel, la volonté de l’intimé de déposer une plainte LP peut donc être exclue. Au demeurant, du point de vue matériel, pour les motifs exposés au considérant qui précède, il s’agit d’une question de fond qui relève exclusivement du juge de l’art. 265a al. 1 LP, et non de l’office des poursuites.</w:t>
      </w:r>
    </w:p>
    <w:p>
      <w:r>
        <w:t>- 9 - Quant au fait que la décision prise par le premier juge le 7 juin 2017 pourrait être mal fondée, il convient de relever qu’elle ne vaut que pour la poursuite en cause et qu’il est donc loisible au créancier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315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