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KD16.025798 vom 21. September 2016</w:t>
      </w:r>
    </w:p>
    <w:p>
      <w:r>
        <w:t>VD Tribunal cantonal, 2016-09-21, FR</w:t>
      </w:r>
    </w:p>
    <w:p>
      <w:r>
        <w:rPr>
          <w:b/>
        </w:rPr>
        <w:t xml:space="preserve">Quelle: </w:t>
      </w:r>
      <w:r>
        <w:t>https://mcp.opencaselaw.ch/entscheid/vd_gerichte_KD16.025798</w:t>
      </w:r>
    </w:p>
    <w:p>
      <w:r>
        <w:t>FR: VD_GERICHTE KD16.025798 du 21 septembre 2016</w:t>
      </w:r>
    </w:p>
    <w:p>
      <w:r>
        <w:t>IT: VD_GERICHTE KD16.025798 del 21 settembre 2016</w:t>
      </w:r>
    </w:p>
    <w:p>
      <w:pPr>
        <w:pStyle w:val="Heading2"/>
      </w:pPr>
      <w:r>
        <w:t>Erwägungen</w:t>
      </w:r>
    </w:p>
    <w:p>
      <w:r>
        <w:rPr>
          <w:b/>
        </w:rPr>
        <w:t>E. 1</w:t>
      </w:r>
    </w:p>
    <w:p>
      <w:r>
        <w:t>Le 31 mai 2016, à la réquisition de l’Etat de Vaud, représenté par l’Office d’impôt du district de Nyon, l’Office des poursuites du même district a notifié à X.________, dans la poursuite n° 7'893’520, un commandement de payer la somme de 100 fr., savoir : « Amende d’ordre défaut de pièces ICC 2012 (Etat de Vaud) selon décision de taxation du 18.02.2016 et du décompte final du 18.02.2016 ; sommation adressée le 19.04.2016 ». Le poursuivi a formé opposition totale, en soulevant l’exception de non-retour à meilleure fortune. Le 2 juin 2016, l’Office des poursuites du district de Nyon a transmis au Juge de paix du même district l’opposition pour non-retour à meilleure fortune. Par citation à comparaître du 7 juin 2016, le juge de paix a informé les parties que l’office des poursuites lui avait transmis cette opposition et les a convoquées à une audience fixée au 8 juillet 2016. Dans ses déterminations du 9 juin 2016, le poursuivant a fait valoir que la créance réclamée en poursuite était postérieure à la faillite du poursuivi, qui avait été prononcée le 9 décembre 2008 et clôturée le 22 décembre 2009, qu’elle n’était donc pas concernée par cette faillite, et que l’opposition pour non-retour à meilleure fortune n’était pas recevable.</w:t>
      </w:r>
    </w:p>
    <w:p>
      <w:r>
        <w:rPr>
          <w:b/>
        </w:rPr>
        <w:t>E. 2</w:t>
      </w:r>
    </w:p>
    <w:p>
      <w:r>
        <w:t>Par prononcé du 11 juillet 2016, le Juge de paix du district de Nyon a déclaré recevable l’exception de non-retour à meilleure fortune (I), rendu la décision sans frais (II) et dit qu’il n’était pas alloué de dépens (III).</w:t>
      </w:r>
    </w:p>
    <w:p>
      <w:r>
        <w:t>- 3 - Le dispositif de ce prononcé a été adressé pour notification aux parties le 14 juillet 2016. Par lettre du 18 juillet 2016, le poursuivant en a accusé réception et en a demandé la motivation. Les motifs du prononcé ont été adressés pour notification aux parties le 25 août 2016. En substance, le premier juge a constaté que les charges du poursuivi étaient supérieures à ses revenus d’un montant de 166 fr. et a estimé que, dans ces conditions, l’exception de non-retour à meilleure fortune était recevable. Il ne s’est pas prononcé sur l’argument soulevé par le poursuivant tiré de l’antériorité de la faillite à la créance réclamée.</w:t>
      </w:r>
    </w:p>
    <w:p>
      <w:r>
        <w:rPr>
          <w:b/>
        </w:rPr>
        <w:t>E. 3</w:t>
      </w:r>
    </w:p>
    <w:p>
      <w:r>
        <w:t>Le poursuivant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w:t>
      </w:r>
    </w:p>
    <w:p>
      <w:r>
        <w:t>- 4 -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w:t>
      </w:r>
    </w:p>
    <w:p>
      <w:r>
        <w:t>- 5 - Il est vrai que le recourant a fait valoir en première instance que le débiteur poursuivi n’était pas recevable à invoquer l’exception de non-retour à meilleur fortune, parce que la créance réclamée était née après sa faillite et ne pouvait donc pas avoir été englobée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le créancier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au créancier de déposer une nouvelle réquisition de poursuite (Huber, op. cit., n. 6 ad art. 265a LP et la réf. cit.; Jeandin, op. cit., pp. 286 s. et les réf. cit. en note de bas de page n° 121). II. Vu ce qui précède, le recours doit être déclaré irrecevable. L’arrêt peut être rendu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