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KD14.035260 vom 5. März 2015</w:t>
      </w:r>
    </w:p>
    <w:p>
      <w:r>
        <w:t>VD Tribunal cantonal, 2015-03-05, FR</w:t>
      </w:r>
    </w:p>
    <w:p>
      <w:r>
        <w:rPr>
          <w:b/>
        </w:rPr>
        <w:t xml:space="preserve">Quelle: </w:t>
      </w:r>
      <w:r>
        <w:t>https://mcp.opencaselaw.ch/entscheid/vd_gerichte_KD14.035260</w:t>
      </w:r>
    </w:p>
    <w:p>
      <w:r>
        <w:t>FR: VD_GERICHTE KD14.035260 du 5 mars 2015</w:t>
      </w:r>
    </w:p>
    <w:p>
      <w:r>
        <w:t>IT: VD_GERICHTE KD14.035260 del 5 marzo 2015</w:t>
      </w:r>
    </w:p>
    <w:p>
      <w:pPr>
        <w:pStyle w:val="Heading2"/>
      </w:pPr>
      <w:r>
        <w:t>Erwägungen</w:t>
      </w:r>
    </w:p>
    <w:p>
      <w:r>
        <w:rPr>
          <w:b/>
        </w:rPr>
        <w:t>E. 18</w:t>
      </w:r>
    </w:p>
    <w:p>
      <w:r>
        <w:t>décembre 2008, RS 272). Le poursuivi a reçu ces motifs le 7 et a recouru le 12 janvier 2015. Dans son acte, il a déclaré former recours contre la décision arrêtant les frais à 990 fr., en mentionnant – décompte de ses charges et de ses revenus du 10 octobre 2014 à l’appui –, qu’il n’avait pas les moyens de payer cette facture. Il a en outre fait remarquer que l’audience était inutile, dès lors que l’exception de non retour à meilleure fortune avait été écartée sans examen de sa situation financière. Par prononcé du 16 janvier 2015, la Présidente de la cour de céans a accordé d'office l'effet suspensif au recours. S’agissant d’un recours qui ne porte que sur le montant des frais, et non sur leur répartition, la partie intimée n’a pas été interpellée. En d roit :</w:t>
      </w:r>
    </w:p>
    <w:p>
      <w:r>
        <w:t>- 5 - I. Le recours a été déposé en temps utile, dans le délai de dix jours qui a suivi la notification de la décision motivée (art. 321 al. 2 CPC [Code de procédure civile du 19 décembre 2008, RS 272]), dans les formes requises (art. 321 al. 1 CPC). Conformément à l'art. 265a al. 1 LP (loi fédérale sur la poursuite pour dettes et la faillite du 11 avril 1889, RS 281.1), dans sa teneur en vigueur depuis le 1er janvier 2011, lorsque le débiteur fait opposition à la poursuite en contestant son retour à meilleure fortune, cette opposition est soumise au juge du for de la poursuite, dont la décision, qu'il déclare l'opposition recevable ou irrecevable, n'est sujette à aucun recours (ATF 138 III 44 c. 1.3; Huber, Basler Kommentar, n. 31 ad art. 265a LP). Toutefois, la loi ne vise que l’hypothèse d’une décision matérielle sur l’existence du retour à meilleure fortune; tel n’est pas le cas lorsque la répartition des frais et dépens de première instance ou sur le montant des frais est litigieuse, car dans ce cas le recours sur les frais est ouvert (art. 110 CPC; ATF 138 III 130 c. 2.2; CPF 16 décembre 2014/436). En l'occurrence, le recourant conteste uniquement le montant des frais mis à sa charge, de sorte que le recours est recevable. II. a) Le recourant fait valoir que les frais judiciaires de première instance, arrêtés à 990 fr. et mis à sa charge, ne sont pas justifiés compte tenu du peu de temps passé par le juge de paix sur ce dossier. b) L’art. 48 OELP (ordonnance du 23 septembre 1996 sur les émoluments perçus en application de la loi fédérale sur la poursuite pour dettes et la faillite, RS 281.35) prévoit que, sous réserve d’autres dispositions de cette ordonnance, l’émolument pour les décisions judiciaires rendues dans une procédure sommaire en matière de poursuite est fonction de la valeur litigieuse : - jusqu’à 1'000 fr. : 40 à 150 fr.</w:t>
      </w:r>
    </w:p>
    <w:p>
      <w:r>
        <w:t>- 6 - - entre 1'000 et 10'000 fr. : 50 à 300 fr. - entre 10'000 et 100'000 fr. : 60 à 500 fr. - entre 100'000 et 1'000'000 fr. : 70 à 1'000 fr. - supérieure à 1'000'000 fr. : 120 à 2'000 fr. Cet émolument est un émolument forfaitaire réglant tous les frais (art. 49 al. 1 OELP). Il doit être avancé par la partie qui saisit l’autorité judiciaire ou qui recourt contre une décision (art. 49 al. 2 OELP). La Cour administrative du Tribunal cantonal a mis en œuvre cette disposition en édictant la directive n° 31 du 19 mars 2012, contenant un tableau qui précise les fourchettes ci-dessus : ainsi, pour une valeur litigieuse d’un acte de défaut de biens située entre 250'001 fr. et 500'000 fr., l’émolument prévu est de 660 fr. (chiffre 9) et, pour une valeur litigieuse située entre 500'001 fr. et 1'000'000 fr., il est de 990 francs (chiffre 10). Cette directive est un document interne, destinée aux chefs d'office. C'est une directive, et non une règle de droit contraignante, édictée afin de traiter de manière uniforme les contentieux de masse, le juge étant en outre astreint à fixer les émoluments de justice conformément à l'OELP. La directive n° 31 du 19 mars 2012 ne lie ainsi ni le juge, ni les parties (CPF, 6 février 2014/49; CPF, 16 octobre 2012/349). c) En l’occurrence, la valeur litigieuse, déterminée par le montant du commandement de payer fondé sur l’acte de défaut de biens après saisie, s’élève à 547'161 fr. 10 plus 15 fr., soit 547'176 fr. 10. Elle se situe donc dans la quatrième fourchette de l’art. 48 OELP, qui prévoit un émolument de 70 fr. à 1'000 fr., et dans l’hypothèse du chiffre 10 de la directive n° 31, qui prévoit un émolument de 990 francs. Le juge de première instance a donc fixé l'émolument litigieux conformément à l'art. 48 OELP et s'est outre fondé sur la directive n° 31. Ce faisant, il n'a violé aucune norme légale ou réglementaire. d) aa) La jurisprudence, suivant la doctrine, distingue, parmi les contributions publiques, entre les impôts, les contributions causales et les taxes d'orientation (ATF 135 I 130 c. 2; TF 2C_439/2014 du 22</w:t>
      </w:r>
    </w:p>
    <w:p>
      <w:r>
        <w:t>- 7 - décembre 2014 c. 6.1; Blumenstein/Locher, System des schweizerischen Steuerrechts, 6ème éd., 2002, p. 5 s.; Oberson, Droit fiscal suisse, 4ème éd., 2012, § 1 n. 3; Ryser/Rolli, Précis de droit fiscal suisse, 4ème éd., 2002, p. 3).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(ATF 135 I 130 c. 2; Blumenstein/Locher, op. cit., p. 2, 4 s.; Oberson, op. cit., § 1 nn. 5, 6, 10). Généralement, les contributions causales se subdivisent en trois sous-catégories: les émoluments, les charges de préférence et les taxes de remplacement (TF 2C_24/2012 du 12 avril 2012, c. 4.1).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135 I 130 c. 2; ATF 129 I 346 c. 5.1; TF 2c_24/2012 du 12 avril 2012, c. 5.1; Blumenstein/Locher, op. cit., p. 2 s.; Oberson, op. cit., § 1 n. 6). bb) En l’occurrence, le recourant fait implicitement valoir que l’émolument pour la décision rendue en procédure sommaire sur le retour à meilleure fortune ne respecte pas le principe de l’équivalence. Ce reproche est fondé. Le juge de paix a écarté l'exception de non-retour à meilleure fortune, considérant que le recourant n'avait pas qualité pour</w:t>
      </w:r>
    </w:p>
    <w:p>
      <w:r>
        <w:t>- 8 - s'en prévaloir. La décision qu’il a rendue est de ce fait courte et sommaire. Elle a fait suite à une audience qui, notoirement, n’a pas dû excéder une vingtaine de minutes. Dans ces conditions, le montant de 990 fr. apparaît comme excessif. Pour tenir compte des opérations susmentionnées, auxquelles il faut ajouter le travail de secrétariat – comportant l’ouverture d’un dossier, la fixation d’une audience, la convocation des parties, la verbalisation des courriers et l’envoi du dispositif et des motifs –, l’émolument doit être réduit à 250 francs. IV. Le recours doit ainsi être admis et le chiffre II du jugement réformé en ce sens que les frais judiciaires sont arrêtés à 250 francs. Les autres chiffres, qui n'ont pas été contestés par le recourant, doivent être maintenus. Les frais judiciaires qui ne sont pas imputables aux parties peuvent être mis à la charge du canton si l'équité l'exige, en particulier lorsque le recours a été nécessaire pour corriger une erreur du juge dont on ne saurait tenir l'autre partie pour responsable (Tappy, in Bohnet et al. (éd.), Code de procédure civile commenté, n. 37 ad art. 107 CPC et les références citées). Tel étant le cas en l'espèce, les frais de deuxième instance, arrêtés à 180 fr., doivent être laissés à la charge de l'Etat (CPF, 10 avril 2014/145; CPF, 11 septembre 2013/356; CPF, 26 novembre 2012/491; CPF, 15 octobre 2012/401 et les références citées) et l'avance de frais de ce montant effectuée par le recourant doit lui être restituée. Il n'est pas alloué de dépens de deuxième instance, le recourant ayant procédé sans l'assistance d'un représentant professionnel.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