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KC25.013947 vom 8. April 2026</w:t>
      </w:r>
    </w:p>
    <w:p>
      <w:r>
        <w:t>VD Tribunal cantonal, 2026-04-08, FR</w:t>
      </w:r>
    </w:p>
    <w:p>
      <w:r>
        <w:rPr>
          <w:b/>
        </w:rPr>
        <w:t xml:space="preserve">Quelle: </w:t>
      </w:r>
      <w:r>
        <w:t>https://mcp.opencaselaw.ch/entscheid/vd_gerichte_KC25.013947</w:t>
      </w:r>
    </w:p>
    <w:p>
      <w:r>
        <w:t>FR: VD_GERICHTE KC25.013947 du 8 avril 2026</w:t>
      </w:r>
    </w:p>
    <w:p>
      <w:r>
        <w:t>IT: VD_GERICHTE KC25.013947 del 8 aprile 2026</w:t>
      </w:r>
    </w:p>
    <w:p>
      <w:pPr>
        <w:pStyle w:val="Heading2"/>
      </w:pPr>
      <w:r>
        <w:t>Volltext</w:t>
      </w:r>
    </w:p>
    <w:p>
      <w:r>
        <w:t>TRIBUNAL CANTONAL KC25.***-*** 84 CO UR DE S P OURSUITES ET FAILL ITES ________________________________________________ Arrêt du 8 avril 2026 Composition : Mme GIROUD WALTHER, présidente M. Hack et Mme Byrde, juges Greffière : Mme Debétaz Ponnaz ***** Art. 321 al. 1 et 326 al. 1 CPC Vu le prononcé rendu le 20 août 2025, dont les motifs ont été adressés pour notification aux parties le 13 janvier 2026, par lequel le Juge de paix des districts du Jura-Nord vaudois et du Gros-de-Vaud a rejeté la requête de mainlevée déposée par B.________ AG, à S***, dans la poursuite n° 10793762 de l’Office des poursuites du district du Gros-de-Vaud, exercée à sa réquisition contre C.________, à T*** (I), a arrêté à 90 fr. les frais judiciaires, compensés avec l’avance de frais de la poursuivante (II), a mis les frais à la charge de celle-ci (III) et n’a pas alloué de dépens (IV), vu le recours formé par la poursuivante contre ce prononcé, par acte du 19 janvier 2026 accompagné d’une pièce nouvelle et adressé au 16J040</w:t>
      </w:r>
    </w:p>
    <w:p>
      <w:r>
        <w:t>- 2 - juge de paix, demandant à ce magistrat de revoir sa décision, compte tenu de la nouvelle preuve produite, vu la transmission du dossier par le juge à la cour de céans, autorité de recours, le 18 février 2026,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délai de recours est réputé observé si l’acte de recours est adressé à temps à l’autorité qui a statué, celle-ci devant transmettre l’acte à l’autorité de deuxième instance (cf. art. 143 al. 1bis CPC ; ATF 140 III 636 consid. 3.7), qu’en l’espèce, le recours adressé au premier juge dans les dix jours suivant la notification du prononcé motivé a été formé en temps utile ; attendu que la motivation du recours est une condition de recevabilité prévue par la loi et qui doit être examinée d'office (art. 321 al. 1 CPC ; TF 5A_734/2023 du 18 décembre 2023 consid. 3.3 et les arrêts cités ; 5D_43/2019 du 24 mai 2019 consid. 3.2.2.1), que, si la motivation du recours fait défaut, le recours est irrecevable (TF 5A_734/2023 précité loc. cit. ; 4A_462/2022 du 6 mars 2023 consid. 5.1.1 et les arrêts cités), que le recourant doit démontrer le caractère erroné de la motivation de la décision attaquée et son argumentation doit être 16J040</w:t>
      </w:r>
    </w:p>
    <w:p>
      <w:r>
        <w:t>- 3 - suffisamment explicite pour que l’instance de recours puisse la comprendre, ce qui suppose une désignation précise des passages de la décision qu’il attaque et des pièces du dossier sur lesquelles il fonde sa critique (ATF 147 III 176 consid. 4.2.1 ; TF 5A_734/2023 précité loc. cit. ; 5D_43/2019 précité loc. cit.), que ni l’art. 132 al. 1 et 2 ni l’art. 56 CPC ne sont applicables en cas d’absence de motivation d’un acte de recours (TF 5A_734/2023 précité consid. 3.3 in fine et les arrêts cités), qu’en l’espèce, la recourante ne critique pas la décision attaquée, mais en demande en substance la révision sur la base d’une pièce nouvelle, irrecevable en procédure de recours (art. 326 al. 1 CPC), qu’un tel recours est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16J040</w:t>
      </w:r>
    </w:p>
    <w:p>
      <w:r>
        <w:t>- 4 - Du L'arrêt qui précède, dont la rédaction a été approuvée à huis clos, est notifié, par l'envoi de photocopies, à : - B.________ AG, - C.________. La Cour des poursuites et faillites considère que la valeur litigieuse est de 474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 Vaud.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