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KC24.037713 vom 31. Dezember 2024</w:t>
      </w:r>
    </w:p>
    <w:p>
      <w:r>
        <w:t>VD Tribunal cantonal, 2024-12-31, FR</w:t>
      </w:r>
    </w:p>
    <w:p>
      <w:r>
        <w:rPr>
          <w:b/>
        </w:rPr>
        <w:t xml:space="preserve">Quelle: </w:t>
      </w:r>
      <w:r>
        <w:t>https://mcp.opencaselaw.ch/entscheid/vd_gerichte_KC24.037713</w:t>
      </w:r>
    </w:p>
    <w:p>
      <w:r>
        <w:t>FR: VD_GERICHTE KC24.037713 du 31 décembre 2024</w:t>
      </w:r>
    </w:p>
    <w:p>
      <w:r>
        <w:t>IT: VD_GERICHTE KC24.037713 del 31 dicembre 2024</w:t>
      </w:r>
    </w:p>
    <w:p>
      <w:pPr>
        <w:pStyle w:val="Heading2"/>
      </w:pPr>
      <w:r>
        <w:t>Volltext</w:t>
      </w:r>
    </w:p>
    <w:p>
      <w:r>
        <w:t>TRIBUNAL CANTONAL KC24.037713-241615 256 CO UR DE S P OURSUITES ET FAILL ITES ________________________________________________ Arrêt du 31 décembre 2024 ______________________ Composition :M. HACK, président M. Maillard et Mme Giroud Walther, juges Greffier : M. Elsig ***** Art. 138 al. 3 let. a, 321 al. 1 et 2 CPC Vu le prononcé non motivé rendu le 22 octobre 2024 par la Juge de paix du district d’Aigle prononçant à concurrence du montant en poursuite la mainlevée définitive de l’opposition formée par B.________, à [...], au commandement de payer n° 11'322'836 de l’Office des poursuites du district de Morges notifié à la réquisition du CANTON DE VAUD, représenté par l’Office d’impôt des districts de Nyon et Morges, à Nyon, arrêtant les frais judiciaires à 360 fr., les mettant à la charge du poursuivi et disant qu’en conséquence celui-ci rembourserait au poursuivant son avance de frais, par 360 fr., sans allocation de dépens, 111</w:t>
      </w:r>
    </w:p>
    <w:p>
      <w:r>
        <w:t>- 2 - vu le relevé de la poste dont il ressort que le pli recommandé contenant le prononcé susmentionné a été avisé pour retrait le 23 octobre 2024, que le délai de garde a été prolongé par le poursuivi le 25 octobre 2024 et remis à celui-ci le 20 novembre 2024, vu le recours daté du 29 novembre 2024 et remis à la poste le 1er décembre 2024 interjeté par le poursuivi contre ce prononcé,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qu’il peut déjà s’exercer dans le délai de l’art. 239 al. 2 CPC (CPF 2 mai 2023/43) que l’observation du délai pour recourir est une condition de recevabilité du recours ; attendu que l’art. 138 al. 3 let. a CPC prévoit que l’acte est réputé notifié, en cas d’envoi recommandé, lorsque celui-ci n’a pas été retiré à l’expiration d’un délai de sept jours à compter de l’échec de la remise, si le destinataire devait s’attendre à recevoir la notification, que la jurisprudence considère que le destinataire qui a participé à une procédure judiciaire doit s’attendre à recevoir une notification (ATF 130 III 396, JdT 2005 II 87 ; TF 1B_411/2022 du 29 août 2022 consid. 1) et prendre les mesures qui lui permettent de recevoir les actes de procédure qui lui sont notifiés (ATF 116 Ia 90, JdT 1992 IV 18 ; TF 1B_177/2020 du 28 avril 2020 consid. 1) ;</w:t>
      </w:r>
    </w:p>
    <w:p>
      <w:r>
        <w:t>- 3 - que la jurisprudence a également précisé qu’en cas de demande de garde du courrier, le pli est considéré comme communiqué le dernier jour du délai de sept jours dès la réception du pli à l’office de poste du domicile du destinataire (ATF 141 II 429 consid. 3.3 ; ATF 123 III 492, JdT 1999 II 109 ; TF 4D_19/2020 du 26 mars 2020 ; TF 6B_937/2015 du 1er octobre 2015), qu’en d’autres termes, il n’est pas prolongé lorsque la Poste permet de retirer le courrier dans un délai plus long, suite à une demande de garde par exemple (ATF 141 II 429 précité ; ATF 127 I 31, JdT 2001 I 727), qu’en l’espèce, le poursuivi a été avisé du pli contenant le prononcé à lui destiné le 23 octobre 2024, qu’il avait participé à la procédure de première instance, qu’il devait donc s’attendre à recevoir une communication judiciaire, que la règle de l’art. 138 al. 3 let. a CPC s’applique donc, que le délai de recours a commencé à courir à l’échéance du délai de sept jours dès la remise infructueuse, soit le 30 octobre 2024, que la demande de prolongation par le poursuivi du délai de garde auprès de la Poste est sans effet sur ce point de départ, que le délai de recours est ainsi arrivé à échéance le samedi 9 novembre 2024, échéance reportée au lundi 11 novembre 2024 (art. 142 al. 3 CPC), que le recours posté le 1er décembre 2024 est en conséquence tardif et, partant, irrecevable ;</w:t>
      </w:r>
    </w:p>
    <w:p>
      <w:r>
        <w:t>- 4 - attendu que, dans la mesure où l’acte du recourant vaudrait demande de motivation, celle-ci serait également tardive (art. 239 al. 2 CPC), qu’il n’y a donc pas lieu de renvoyer la cause au premier juge pour qu’il motive son prononcé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 B.________, - Office d’impôt des districts de Nyon et Morges (pour Canton de Vaud). La Cour des poursuites et faillites considère que la valeur litigieuse est de 16'280 fr. 85.</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