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KC24.034098 vom 18. September 2025</w:t>
      </w:r>
    </w:p>
    <w:p>
      <w:r>
        <w:t>VD Tribunal cantonal, 2025-09-18, FR</w:t>
      </w:r>
    </w:p>
    <w:p>
      <w:r>
        <w:rPr>
          <w:b/>
        </w:rPr>
        <w:t xml:space="preserve">Quelle: </w:t>
      </w:r>
      <w:r>
        <w:t>https://mcp.opencaselaw.ch/entscheid/vd_gerichte_KC24.034098</w:t>
      </w:r>
    </w:p>
    <w:p>
      <w:r>
        <w:t>FR: VD_GERICHTE KC24.034098 du 18 septembre 2025</w:t>
      </w:r>
    </w:p>
    <w:p>
      <w:r>
        <w:t>IT: VD_GERICHTE KC24.034098 del 18 settembre 2025</w:t>
      </w:r>
    </w:p>
    <w:p>
      <w:pPr>
        <w:pStyle w:val="Heading2"/>
      </w:pPr>
      <w:r>
        <w:t>Erwägungen</w:t>
      </w:r>
    </w:p>
    <w:p>
      <w:r>
        <w:rPr>
          <w:b/>
        </w:rPr>
        <w:t>E. 3</w:t>
      </w:r>
    </w:p>
    <w:p>
      <w:r>
        <w:t>A l'appui de sa requête de mainlevée, la recourante a notamment produit un contrat de bail à loyer pour locaux commerciaux signé le 14 mars 2002, qui prévoit un loyer net de 2'000 fr. par mois. Dès</w:t>
      </w:r>
    </w:p>
    <w:p>
      <w:r>
        <w:t>- 13 - lors qu'il s'agit d'un bail commercial, aucune formule officielle n'est nécessaire à la fixation du loyer (art. 270 al. 2 CO a contrario). Un tel titre constitue en principe une reconnaissance de dette valable au sens de l'art. 82 LP.</w:t>
      </w:r>
    </w:p>
    <w:p>
      <w:r>
        <w:rPr>
          <w:b/>
        </w:rPr>
        <w:t>E. 3.1</w:t>
      </w:r>
    </w:p>
    <w:p>
      <w:r>
        <w:t>A titre liminaire, il sied d’écarter le moyen pris de la violation de l'art. 55 CPC – invoqué pour la première fois par l'intimé dans sa réponse au recours – selon lequel le complexe de faits ressortant de la requête de mainlevée ne permettrait pas d'admettre celle-ci, faute d'allégations suffisantes. En l'occurrence, la poursuivante a certes décrit le litige de manière laconique dans sa requête de mainlevée. Cela étant, eu égard au caractère sommaire de la procédure de mainlevée, la requérante doit pouvoir se limiter à présenter ses conclusions et à décrire l'objet du litige, sans devoir présenter des allégués de fait séparés, chacun accompagné d'offres de preuves (Abbet, in Abbet/Veuillet [éd.], La mainlevée de l'opposition, 2e éd. 2022, n. 56 ad art. 84 LP). Force est aussi de souligner que la recourante a produit les pièces nécessaires permettant de trancher les questions litigieuses, notamment celles afférentes au critère de la triple identité. Il apparaît en outre que l'intimé, dans ses déterminations du 18 octobre 2024, a spontanément porté l'affaire sur les points relatifs au prétendu défaut d'identité entre la poursuivante et la créancière, d’une part, et entre le poursuivi et le débiteur, d’autre part, en formulant diverses allégations à ce sujet. Or, au regard de la maxime des débats (art. 55 al. 1 CPC), il importe peu que les faits aient été allégués par l'une ou l'autre des parties ; dès lors qu’ils font partie du cadre du procès, le juge peut en tenir compte (TF 4A_566/2015 du 8 février 2016 consid. 4.2.1). Dans ses déterminations du 9 avril 2025, la recourante a en outre exposé, sans être nullement contredite par son adversaire, que lors de l'audience tenue le 24 octobre 2024, elle avait précisé l'objet du litige et s’était déterminée sur les arguments soulevés par l’intimé. Dans ces conditions, le grief tiré de la violation de l’art. 55 CPC se révèle infondé. De même, l'intimé reproche, à tort, à son adversaire d'avoir enfreint l'art. 326 CPC.</w:t>
      </w:r>
    </w:p>
    <w:p>
      <w:r>
        <w:t>- 14 -</w:t>
      </w:r>
    </w:p>
    <w:p>
      <w:r>
        <w:rPr>
          <w:b/>
        </w:rPr>
        <w:t>E. 3.2</w:t>
      </w:r>
    </w:p>
    <w:p>
      <w:r>
        <w:t>En ce qui concerne I’identité entre la poursuivante et la créancière, la mainlevée peut être accordée non seulement à celui que le titre désigne comme créancier, mais aussi à celui qui prend la place du créancier désigné dans la reconnaissance de dette, notamment par l'effet d'une cession ou d'une subrogation, pour autant que le transfert soit établi par pièces. Dans le contrat de bail, en particulier, si après la conclusion du contrat, le bailleur aliène la chose louée, l'acquéreur devient, dès l'inscription au registre foncier, à la fois le propriétaire de l'immeuble et le nouveau bailleur ; il succède au précédent bailleur dans la relation contractuelle par le seul effet de la loi (art. 261 al. 1 CO ; ATF 128 III 82 consid. 1a ; 127 III 273 consid. 4c/aa ; CPF 10 janvier 2013/1 ; CPF 17 décembre 2009/445). En l'espèce, il ressort de l'extrait du registre foncier relatif à la parcelle n° [...] de la Commune de [...], produit par la recourante en annexe à sa requête de mainlevée, que l'immeuble concerné, objet du contrat de bail du 14 mars 2002, a été acquis par la recourante en juillet 2004. Il est ainsi établi par pièce que la recourante est devenue propriétaire, à ce moment- là, de l'immeuble abritant les locaux loués, raison pour laquelle elle a qualité pour poursuivre I’intimé.</w:t>
      </w:r>
    </w:p>
    <w:p>
      <w:r>
        <w:rPr>
          <w:b/>
        </w:rPr>
        <w:t>E. 3.3</w:t>
      </w:r>
    </w:p>
    <w:p>
      <w:r>
        <w:t>II convient d'examiner l'identité entre le poursuivi et le débiteur.</w:t>
      </w:r>
    </w:p>
    <w:p>
      <w:r>
        <w:rPr>
          <w:b/>
        </w:rPr>
        <w:t>E. 3.3.1</w:t>
      </w:r>
    </w:p>
    <w:p>
      <w:r>
        <w:t>Il y a solidarité entre plusieurs débiteurs lorsqu'ils déclarent s'obliger de manière qu'à l'égard du créancier, chacun d'eux soit tenu pour le tout (art. 143 al. 1 CO). En matière de contrat de bail, il est de manière générale admis que des colocataires sont des codébiteurs solidaires, de sorte que le bailleur peut réclamer la totalité du loyer à chacun des colocataires (CPF 12 novembre 2021/244 ; CPF 30 décembre 2020/358 ; CPF 20 juin 2019/130 ; CPF 12 mars 2015/79 ; CPF 12 septembre 2014/318 ; CPF 2 avril 2014/124 ; Lachat, in Lachat et alii [éd.], Le bail à loyer, éd. 2019, p. 100 ; Veuillet/Abbet, op. cit., n. 161 ad</w:t>
      </w:r>
    </w:p>
    <w:p>
      <w:r>
        <w:t>- 15 - art. 82 LP ; Krauskopf, La mainlevée provisoire : quelques jurisprudences récentes, in JdT 2008 Il 36). Le cautionnement est le contrat par lequel la caution s'engage envers le créancier principal à garantir le paiement de la dette contractée par un tiers, le débiteur principal (art. 492 al. 1 CO). Le cautionnement présuppose l'existence d'un autre engagement, celui qui doit être garanti, et constitue une adjonction à cet engagement et en dépend nécessairement pour son existence et son objet. De nature accessoire, il garantit la solvabilité du débiteur ou l'exécution d'un contrat (ATF 129 III 702 consid. 2.1, JdT 2004 I 535 ; 113 Il 434 consid. 2a, JdT 1988 I 185 ; CPF 28 décembre 2018/343). Le cautionnement renforce la position du créancier et repose souvent dans cette mesure sur des considérations identiques, mais diffère quant aux conditions de forme. Alors que le contrat sur lequel repose la solidarité passive n'est soumis à aucune forme (TF 5A_944/2016 consid. 2.3 ; ATF 129 III 702 consid. 2.1, JdT 2004 I 535), la déclaration de cautionnement, lorsque la caution est une personne physique et que le cautionnement dépasse la somme de 2'000 fr., doit revêtir la forme authentique, sous peine de nullité (art. 493 al. 2 CO).</w:t>
      </w:r>
    </w:p>
    <w:p>
      <w:r>
        <w:rPr>
          <w:b/>
        </w:rPr>
        <w:t>E. 3.3.2</w:t>
      </w:r>
    </w:p>
    <w:p>
      <w:r>
        <w:t>En l'espèce, l'intimé soutient que feu B.________ ne revêtait pas la qualité de colocataire et prétend que l'engagement pris par ce dernier constituerait, en réalité, un cautionnement déguisé. La première page du contrat de bail conclu le 14 mars 2002 mentionne ce qui suit sous la rubrique « Le locataire colocataire(s) » : « ASSOCIATION U.________ représentée par Messieurs T.________ W.________, B.________ Et M. T.________, … Et M. W.________, … Et M. B.________, … Solidairement responsables ».</w:t>
      </w:r>
    </w:p>
    <w:p>
      <w:r>
        <w:t>- 16 - En dernière page, le contrat comporte, sous l'intitulé « le(s) locatai- re(s) », le nom de l’association U.________, suivi du coordonnant « et » ainsi que des noms de T.________, W.________ et B.________, lesquels précèdent la mention « solidairement responsables ». Il apparaît en outre que le contrat de bail a été signé à deux reprises par T.________, W.________ et B.________, soit une fois en tant que représentants de l'association U.________ et une fois en leur nom propre. Au vu de ces éléments, force est d'admettre que les termes du contrat de bail sont sans équivoque et que, par leurs signatures sur ledit document, T.________, W.________ et B.________ se sont engagés en tant que locataires solidaires, aux côtés de l'association U.________, pour le paiement des loyers stipulés. La tentative de l'intimé visant à établir qu'il s'agirait en réalité d'un cautionnement déguisé, nul à la forme, outre qu'elle repose dans une large mesure sur des éléments extrinsèques au contrat en cause qui échappent donc au pouvoir d'examen du juge de la mainlevée, n'apparaît nullement convaincante eu égard aux termes clairs ressortant du contrat de bail.</w:t>
      </w:r>
    </w:p>
    <w:p>
      <w:r>
        <w:rPr>
          <w:b/>
        </w:rPr>
        <w:t>E. 3.3.3</w:t>
      </w:r>
    </w:p>
    <w:p>
      <w:r>
        <w:t>Par ailleurs, il ressort des pièces du dossier que l'intimé est membre de la succession non partagée de B.________, décédé le [...] 2021. Le décès de ce dernier n’a pas mis fin au contrat de bail, celui-ci passant de plein droit aux héritiers, qui assument les droits et obligations du défunt selon l'art. 560 CC aux côtés des autres locataires. Selon l'art. 603 al. 1 CC, les héritiers répondent personnellement et solidairement des dettes du défunt. Ainsi tout membre de la communauté peut être poursuivi personnellement à son domicile (art. 46 al. 1 LP), même avant le partage, pour l'ensemble des dettes et tout son patrimoine en répond (CPF 15 juin 2018/74). Aussi est-ce à tort que l'intimé soutient que les membres de l'hoirie de feu B.________ auraient dû être actionnés conjointement par la recourante au lieu où le défunt pouvait lui-même être poursuivi. L'intimé est domicilié à [...] et la poursuite dirigée contre lui a été introduite au bon for (art. 46 al. 1 LP). En tout état de cause, la personne poursuivie qui n'a pas contesté par la voie de la plainte (art. 17 LP) la compétence à raison du lieu de l'office des poursuites ayant notifié le commandement de payer n'est pas admise à soulever ce moyen dans la procédure de mainlevée</w:t>
      </w:r>
    </w:p>
    <w:p>
      <w:r>
        <w:t>- 17 - (ATF 136 III 373 consid. 2.1 ; 112 III 9 consid. 2 ; Bovey/Constantin, in Foëx et al. [éd.], Commentaire romand, Poursuite et faillite, 2e éd. 2025, n. 8 ad art. 84 LP ; Abbet, op. cit., n° 9 ad art. 84 LP). L’intimé ne peut pas davantage être suivie lorsqu'il soutient que, faute d'intérêt des héritiers du colocataire décédé au maintien du bail et compte tenu de l'absence de contact entre la partie bailleresse et ceux- ci durant plusieurs années après la survenance du décès, il y aurait eu rupture des relations contractuelles par actes concluants. En tout état de cause, il apparaît que la partie bailleresse n'a visiblement eu connaissance du décès de B.________ que plusieurs années après, d'une part, et que les héritiers du prénommé n'ont découvert l'existence du contrat de bail qu'au cours de l'année 2024, d'autre part, de sorte qu'il est exclu de souscrire à la thèse d’une prétendue modification des rapports contractuels par actes concluants. Comme le souligne à bon droit la recourante, l'intimé se méprend également Iorsqu'il affirme que le décès de B.________ constituerait un fait notoire étant donné que cette information a été publiée dans un quotidien vaudois et sur un site internet. Au vu de ce qui précède, il y a lieu d'admettre que l'identité entre la personne poursuivie et celle débitrice des obligations liées au contrat de bail est également réalisée.</w:t>
      </w:r>
    </w:p>
    <w:p>
      <w:r>
        <w:rPr>
          <w:b/>
        </w:rPr>
        <w:t>E. 3.4</w:t>
      </w:r>
    </w:p>
    <w:p>
      <w:r>
        <w:t>La recourante demande la mainlevée provisoire de l'opposition formée par l'intimé à concurrence de 15'449 fr. (soit sept loyers mensuels d'un montant de 2'207 fr. pour les mois de décembre 2023 à juin 2024), plus intérêt à 7 % l'an dès le 15 février 2024. En l'occurrence, le bail conclu le 14 mars 2002 prévoit un loyer mensuel net de 2'000 fr., payable trimestriellement à l'avance. Ledit document vaut titre à la mainlevée à concurrence dudit montant. En revanche, les formulaires de notification de hausse de loyer produits par la recourante à l'appui de sa requête de mainlevée ne valent pas titre de mainlevée provisoire d’opposition au sens de l'art. 82 LP – même si les locataires n'ont pas contesté lesdites hausses de loyer – car ces derniers</w:t>
      </w:r>
    </w:p>
    <w:p>
      <w:r>
        <w:t>- 18 - n'ont pas signé les documents en question (CPF 25 juin 2012/211 ; Stastny, in Lachat et alii [éd.], op. cit., p. 515 ; Marchand, in Bohnet alii [éd.], Commentaire pratique, Droit du bail à loyer et à ferme, 2e éd. 2017, n. 35 ad art. 269d CO). II en va de même lorsque l'avis de hausse de loyer repose sur une clause d'indexation du loyer figurant dans le contrat de bail (Stastny, ibidem). Par conséquent, il n'y a reconnaissance de dette que pour le montant du loyer net initial. Il résulte de ce qui précède que la recourante dispose d'un titre de mainlevée contre l'intimé pour la somme de 14'000 fr. (7 x 2'000 fr.), plus intérêt à</w:t>
      </w:r>
    </w:p>
    <w:p>
      <w:r>
        <w:rPr>
          <w:b/>
        </w:rPr>
        <w:t>E. 7</w:t>
      </w:r>
    </w:p>
    <w:p>
      <w:r>
        <w:t>% l'an (taux fixé dans le contrat de bail). Cet intérêt sera alloué à partir du 15 février 2024, puisqu'il n'est requis qu'à compter de cette date (art. 58 al. 1 CPC). 4. 4.1 En conclusion, le recours doit être partiellement admis et le prononcé réformé en ce sens que l'opposition formée par l'intimé à la poursuite en cause est provisoirement levée à concurrence de 14'000 fr., avec intérêt à 7 % l'an dès le 15 février 2024, l'opposition étant maintenue pour le surplus. 4.2 La recourante l'emporte ainsi sur environ 9/10èmes de ses conclusions. Les frais des deux instances doivent donc être répartis selon le sort de la cause (art. 106 al. 2 CPC). 4.2.1 Les frais judiciaires de première instance arrêtés à 360 fr., dont la poursuivante a fait l'avance, sont ainsi mis par 36 fr. à sa charge – l'avance de frais effectuée par elle lui étant restituée pour le surplus (art. 122 al. 1 let. c CPC) – et par 324 fr. à la charge du poursuivi. Vu l'assistance judiciaire accordée au poursuivi pour la procédure de première instance, les frais mis à la charge de celui-ci sont laissés provisoirement à la charge de I'Etat (art. 122 al. 1 let. b CPC).</w:t>
      </w:r>
    </w:p>
    <w:p>
      <w:r>
        <w:t>- 19 - 4.2.2 Pour les mêmes raisons, les frais judiciaires de deuxième instance, arrêtés à 540 fr. (art. 61 al. 1 OELP [ordonnance sur les émoluments perçus en application de la LP du 23 septembre 1996 ; RS 281.35]), doivent être mis à la charge de la recourante à hauteur de 54 fr. – laquelle se verra restituer le solde de l'avance de frais fournie par elle (art. 122 al. 1 let. b CPC) — et à la charge de l'intimé à hauteur de 486 francs. Les frais mis à la charge de ce dernier sont laissés provisoirement à la charge de l'Etat (art. 122 al. 1 let. b CPC). 4.3 Vu l’issue de la procédure, la recourante a droit à des dépens réduits de première comme de deuxième instance. Selon l'art. 3 al. 2 TDC (tarif des dépens en matière civile du 23 novembre 2010 ; BLV 270.11.6), dans les contestations portant sur des affaires patrimoniales, le défraiement est fixé, selon le type de procédure et dans les limites des tableaux figurant aux art. 4 à 8 et 10 à 13 du TDC, en considération de I’importance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réduit de 15 % dans les causes dont la valeur litigieuse ne dépasse pas 30'000 francs. 4.3.1 La recourante, qui était déjà assistée d'une agente d'affaires brevetée en première instance, peut prétendre à des dépens de première instance réduits d’1/10ème qu'il convient d’arrêter à 810 fr. (9/10 de 900 fr. ; art. 11 TDC). L’intimé, qui était assisté d’un avocat, peut également prétendre à des dépens réduits de èmes soit 105 fr. (1/10 de 1'050 fr. ; art. 6 TDC). Après compensation, le montant restant dû par l'intimé à la recourante à ce titre est de 705 fr., étant donné que la personne bénéficiant de l'assistance judiciaire reste tenue de verser des dépens à son adversaire (art. 122 al. 1 let. d CPC).</w:t>
      </w:r>
    </w:p>
    <w:p>
      <w:r>
        <w:t>- 20 - Cela étant, la cour de céans constate que la présente cause et celle divisant la poursuivante d’avec une autre héritière de feu B.________, [...], ont été traitées simultanément par les mêmes mandataires professionnels, portent sur un état de fait similaire et soulèvent les mêmes questions juridiques. Il convient d’en tenir compte dans l’estimation des dépens dus en faveur de la recourante (art. 20 al. 2 TDC), en réduisant les dépens – dans la présente cause comme dans celle précitée – dans une proportion de 25 %. Les dépens de première instance finalement dus par l’intimé seront ainsi arrêtés à 530 fr. en chiffres arrondis. 4.3.2 S’agissant des dépens de deuxième instance, la recourante peut prétendre à des dépens réduits d’1/10ème, qui seront arrêtés à 990 fr. (9/10 de 1'100 fr. ; art. 13 TDC). L’intimé, peut également prétendre à des dépens réduits de 9/10èmes, soit 150 fr. (1/10 de 1'500 fr. ; art. 8 TDC). Après compensation, le montant restant dû par l'intimée à la recourante à ce titre serait ainsi de 840 francs. Vu la connexité des causes relevée ci-dessus, il se justifie également de réduire les dépens pour la procédure de recours dans une même proportion, de sorte que ces dépens seront finalement arrêtés à 630 francs. 4.4 L'indemnité du conseil d'office de l'intimée doit être fixée et ce dernier sera rémunéré par le Canton aux conditions de l'art. 122 CPC. 4.4.1 Dans le canton de Vaud, l'art. 2 al. 1 RAJ (règlement sur l'assistance judiciaire en matière civile du 7 décembre 2010 ; BLV 211.02.3) – qui renvoie à l'art. 122 al. 1 let. a CPC – précise que le conseil juridique commis d'office a droit au remboursement de ses débours et à un défraiement équitable, fixé en considération de l'importance de la cause, de ses difficultés, de l'ampleur du travail et du temps consacré par le conseil juridique commis d'office. A cet égard, le juge apprécie l'étendue des opérations nécessaires</w:t>
      </w:r>
    </w:p>
    <w:p>
      <w:r>
        <w:t>- 21 - pour la conduite du procès (ATF 122 I 1 consid. 3a). Il applique le tarif horaire de 180 fr. pour un avocat (let. a).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1 1 consid. 3a ; 117 la 22 consid. 4c et les références citées).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(TF 8C_278/2020 consid. 4.3 ; CREC 2 juin 2015/208 consid. 3b/ba). Lorsque l'autorité statue sur la base d'une liste de frais, elle doit exposer brièvement, si elle entend s'en écarter, les motifs pour lesquels elle tient certaines prétentions pour injustifiées (ATF 141 1 70 consid. 5.2 ; TF 4D 37/2018 du 5 avril 2019 consid. 4 et les références citées ; CPF 2 mars 2021/4). 4.4.2 En l'espèce, il ressort de la liste des opérations produite le 27 mars 2025, complétée par celle du 16 juin 2025, que Me Hulliger a consacré au total 5 heures à la procédure de recours. Ce temps apparaît correct et peut être admis. Sur la base d'un tarif horaire de 180 fr. (art. 2 al. 1 let. a RAJ), cela équivaut à 900 fr., auxquels s'ajoutent 18 fr. de débours (art. 3bis al. 1 RAJ) et 74 fr. 35 de TVA à 8,1 % sur 918 fr., soit un montant total de 992 fr. 35, arrondi à 993 francs.</w:t>
      </w:r>
    </w:p>
    <w:p>
      <w:r>
        <w:t>- 22 - Cela étant, la cour de céans constate que dans la présente cause, le conseil d’office n’a pas facturé d’honoraires pour les recherches juridiques, ce qu’il avait fait à hauteur de 90 minutes dans la cause connexe divisant la recourante d’avec [...], et qu’il a décompté un temps réduit de moitié (120 minutes au lieu de 240 minutes) pour la rédaction de la réponse. La cour de céans considère qu’il serait inéquitable que cette réduction des honoraires du fait de la connexité des causes évoquée au considérant 4.3.1 ci-dessus ne profite qu’à l’intimé au présent recours, alors que les deux causes et procédures de recours sont en tous points similaires. C’est pourquoi l’indemnité due à Me Hulliger en sa qualité de conseil d’office de l’intimé au présent recours sera finalement arrêtée sur la base de l’indemnité de 993 fr. calculée ci-dessus, à laquelle on ajoutera celle fixée dans la procédure de recours connexe, par 1'059 fr., soit une indemnité totale de 2'052 fr., qui sera mise par moitié (1'026 fr.) à la charge de l’intimé R.________ et par moitié à la charge de [...]. 4.4.3 La bénéficiaire de l'assistance judiciaire est, dans la mesure de l'art. 123 CPC, tenue au remboursement des frais judiciaires et de l'indemnité de son conseil d'office provisoirement supportés par I’Etat.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