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KC24.028829 vom 12. Dezember 2024</w:t>
      </w:r>
    </w:p>
    <w:p>
      <w:r>
        <w:t>VD Tribunal cantonal, 2024-12-12, FR</w:t>
      </w:r>
    </w:p>
    <w:p>
      <w:r>
        <w:rPr>
          <w:b/>
        </w:rPr>
        <w:t xml:space="preserve">Quelle: </w:t>
      </w:r>
      <w:r>
        <w:t>https://mcp.opencaselaw.ch/entscheid/vd_gerichte_KC24.028829</w:t>
      </w:r>
    </w:p>
    <w:p>
      <w:r>
        <w:t>FR: VD_GERICHTE KC24.028829 du 12 décembre 2024</w:t>
      </w:r>
    </w:p>
    <w:p>
      <w:r>
        <w:t>IT: VD_GERICHTE KC24.028829 del 12 dicembre 2024</w:t>
      </w:r>
    </w:p>
    <w:p>
      <w:pPr>
        <w:pStyle w:val="Heading2"/>
      </w:pPr>
      <w:r>
        <w:t>Volltext</w:t>
      </w:r>
    </w:p>
    <w:p>
      <w:r>
        <w:t>TRIBUNAL CANTONAL KC24.028829-241426 223 CO UR DE S P OURSUITES ET FAILL ITES ________________________________________________ Arrêt du 12 décembre 2024 ______________________ Composition :M. HACK, président Mmes Byrde et Cherpillod, juges Greffier : M. Elsig ***** Art. 321 al. 2 CPC Vu le prononcé rendu le 26 août 2024 par la Juge de paix du district d’Aigle, dont la motivation a été adressée aux parties le 10 octobre 2024, rejetant la requête déposée par P.________ SÀRL, à [...], tendant à la mainlevée provisoire de l’opposition formée par D.________, à [...], dans la poursuite n° 11'240'053 de l’Office des poursuites du district d’Aigle, au commandement de payer la somme de 1'270 fr. 85 avec intérêt à 5 % l’an dès le 1er avril 2023, arrêtant les frais judiciaires à 150 fr., les mettant à la charge de la poursuivante et n’allouant pas de dépens, 111</w:t>
      </w:r>
    </w:p>
    <w:p>
      <w:r>
        <w:t>- 2 - vu le relevé de la Poste indiquant que le pli contenant la motivation de ce prononcé a été remis à P.________ Sàrl le 11 octobre 2024, vu l’acte remis à la poste le 22 octobre 2024 par P.________ Sàrl demandant à la première juge de réexaminer la cause au vu des pièces produites avec le courrier,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la motivation du prononcé a été notifiée à P.________ Sàrl le 11 octobre 2024, que le délai de recours de dix jours est donc arrivé à échéance le 21 octobre 2024, que l’écriture déposée à la poste le 22 octobre 2024 est tardive et, partant irrecevable, si elle doit être considérée comme un recours ; attendu qu’au demeurant, le juge est dessaisi de la cause à partir du moment où il a rendu son jugement, en ce sens qu'il ne peut plus modifier celui-ci (ATF 142 III 695 consid. 4.2.1 et les réf. citées), qu’en outre l’art. 326 al. 1 CPC prohibe les allégations et preuves nouvelles devant l’autorité de recours,</w:t>
      </w:r>
    </w:p>
    <w:p>
      <w:r>
        <w:t>- 3 - que la première juge n’était donc pas habilitée à modifier son prononcé, comme le lui demandait la poursuivante, que les pièces nouvelles produites avec l’écriture du 22 octobre 2024 et les allégués correspondants étaient donc irrecevables qu’ainsi, même s’il avait été déposé en temps utile, le recours, fondé sur ces pièces nouvelles, aurait dû être rejeté dans la mesure de sa recevabilité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- 4 - - P.________ Sàrl, - M. D.________. La Cour des poursuites et faillites considère que la valeur litigieuse est de 1'270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