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KC24.024759 vom 30. Juli 2025</w:t>
      </w:r>
    </w:p>
    <w:p>
      <w:r>
        <w:t>VD Tribunal cantonal, 2025-07-30, FR</w:t>
      </w:r>
    </w:p>
    <w:p>
      <w:r>
        <w:rPr>
          <w:b/>
        </w:rPr>
        <w:t xml:space="preserve">Quelle: </w:t>
      </w:r>
      <w:r>
        <w:t>https://mcp.opencaselaw.ch/entscheid/vd_gerichte_KC24.024759</w:t>
      </w:r>
    </w:p>
    <w:p>
      <w:r>
        <w:t>FR: VD_GERICHTE KC24.024759 du 30 juillet 2025</w:t>
      </w:r>
    </w:p>
    <w:p>
      <w:r>
        <w:t>IT: VD_GERICHTE KC24.024759 del 30 luglio 2025</w:t>
      </w:r>
    </w:p>
    <w:p>
      <w:pPr>
        <w:pStyle w:val="Heading2"/>
      </w:pPr>
      <w:r>
        <w:t>Volltext</w:t>
      </w:r>
    </w:p>
    <w:p>
      <w:r>
        <w:t>TRIBUNAL CANTONAL KC24.024759-250690 83 CO UR DE S P OURSUITES ET FAILL ITES ________________________________________________ Arrêt du 30 juillet 2025 __________________ Composition :M. HACK, président Mmes Byrde et Giroud Walther, juges Greffier : Mme Joye ***** Art. 59 al. 2 let. a ; 321 al. 1 et 2 CPC Vu le prononcé rendu sous forme de dispositif le 15 août 2024 par lequel la Juge de paix du district de Lausanne a rejeté la requête de mainlevée d’opposition déposée par l’ETAT DE VAUD (poursuivant), représenté ...]par la Préfec-ture du district de Lausanne, dans la poursuite n° 10'975’321 de l’Office des pour-suites du même district exercée à l’encontre de T.________(poursuivi) (I), a mis les frais judiciaires, arrêtés à 90 fr., à la charge du poursuivant (II et III) et a dit qu’il n’était pas alloué de dépens (IV), 111</w:t>
      </w:r>
    </w:p>
    <w:p>
      <w:r>
        <w:t>- 2 - vu le prononcé motivé adressé aux parties le 13 janvier 2025 et notifié au poursuivi le 3 février 2025, vu l’écriture, qui ne comporte pas de signature, déposée par le pour-suivi le 24 avril 2025,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les actes que les parties adressent au tribunal doivent être signés (art. 130 al. 1 CPC), qu’en application de l’art. 132 al. 1 CPC, le tribunal fixe un délai pour la rectification des vices de forme telle l'absence de signature (art. 130 al. 1 CPC), à défaut de quelle rectification, l'acte n'est pas pris en considération, qu’en l’espèce, l’acte du 24 avril 2025, qui doit être considéré comme un recours, n’est pas signé, si bien qu’il est informe, qu’on peut toutefois renoncer à impartir au recourant un délai pour procéder à la rectification de ce vice, dès lors que le recours doit de toute manière être déclaré irrecevable pour plusieurs autres motifs ; attendu, en premier lieu, que l'existence d'un intérêt à recourir requis pour l'exercice de toute voie de droit (cf. art. 59 al. 2 let. a CPC ; TF 4A_189/ 2022 du 22 mai 2024 consid. 3.4 non publié in ATF 150 III 257 ; ATF 130 III 102 consid. 1.3, rés. in JdT 2004 I 234) et que l'absence d'un tel intérêt, qui doit être constatée d'office (art. 60 CPC), entraîne l'irrecevabilité du recours (Freiburghaus/Afheldt in : Sutter- Somm/Hasenböhler/Leuenberger [éd.], ZPO Kommentar, 4e éd., 2025, nn.</w:t>
      </w:r>
    </w:p>
    <w:p>
      <w:r>
        <w:t>- 3 - 10 et 11 ad art. 321 CPC ; Bovey, in : Aubry Girardin et alii [éd.], Commentaire de la LTF [loi sur le Tribunal fédéral ; RS 173.110], 3e éd., 2022, n. 17 ad art. 76 LTF et réfé-rences), qu’en l’espèce, en rejetant la requête de mainlevée déposée par l’Etat de Vaud et en mettant à la charge de celui-ci les frais judiciaires, le prononcé attaqué donne entièrement gain de cause à T.________, qui n’a ainsi aucun intérêt à recourir, que le recours est irrecevable pour ce premier motif déjà ; attendu, en deuxième lieu, que le recours déposé le 24 avril 2025, dirigé contre le prononcé dont les motifs ont été notifiés à T.________ le 3 février 2025, est très largement tardif, le délai de recours de l’art. 321 al. 2 CPC étant de dix jours, que pour ce motif également, le recours est irrecevable ; attendu, en troisième lieu, que pour être recevable,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w:t>
      </w:r>
    </w:p>
    <w:p>
      <w:r>
        <w:t>- 4 - qu’en l’espèce, le recourant ne formule aucun grief dirigé contre le raisonnement de la première juge, que le recours est irrecevable également pour absence de motivation topique ; attendu que le présent arrêt est rendu sans frais (art. 11 TFJC [tarif des frais judiciaires civils du 28 septembre 2010]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T.________, - Préfecture du district de Lausanne (pour l’Etat de Vaud).</w:t>
      </w:r>
    </w:p>
    <w:p>
      <w:r>
        <w:t>- 5 - La Cour des poursuites et faillites considère que la valeur litigieuse est de 190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