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KC24.024002 vom 7. März 2025</w:t>
      </w:r>
    </w:p>
    <w:p>
      <w:r>
        <w:t>VD Tribunal cantonal, 2025-03-07, FR</w:t>
      </w:r>
    </w:p>
    <w:p>
      <w:r>
        <w:rPr>
          <w:b/>
        </w:rPr>
        <w:t xml:space="preserve">Quelle: </w:t>
      </w:r>
      <w:r>
        <w:t>https://mcp.opencaselaw.ch/entscheid/vd_gerichte_KC24.024002</w:t>
      </w:r>
    </w:p>
    <w:p>
      <w:r>
        <w:t>FR: VD_GERICHTE KC24.024002 du 7 mars 2025</w:t>
      </w:r>
    </w:p>
    <w:p>
      <w:r>
        <w:t>IT: VD_GERICHTE KC24.024002 del 7 marzo 2025</w:t>
      </w:r>
    </w:p>
    <w:p>
      <w:pPr>
        <w:pStyle w:val="Heading2"/>
      </w:pPr>
      <w:r>
        <w:t>Erwägungen</w:t>
      </w:r>
    </w:p>
    <w:p>
      <w:r>
        <w:rPr>
          <w:b/>
        </w:rPr>
        <w:t>E. 2</w:t>
      </w:r>
    </w:p>
    <w:p>
      <w:r>
        <w:t>Le recourant soutient en substance que la convention d’actionnaires en cause engageait également les représentants de P.________ SA – dont l’intimé – à titre personnel. Il se prévaut sur ce point des art. 14 et 20 de la convention qui indiquent que « Tous les termes et conditions de la présente Convention obligent et confèrent des droits aux parties qui s’étendent à leurs héritiers, successeurs, cessionnaires ou représentants légaux respectifs » et « En cas de sortie d’une des parties, y compris en cas de décès, la présente convention continue de lier les autres parties et le cas échéant les ayant droits. Aucune partie ne peut renoncer aux engagements pris dans la présente convention en tant qu’elle détient au moins une action de la société ». Il expose par ailleurs que S.________ SA (anciennement Q.________ SA) aurait les moyens de rembourser le prêt mais que ce remboursement peut également être demandé aux ayant droits de D.________ SA (anciennement P.________ SA) et que la condition suspensive prévue dans la convention ne s’applique pas à leur égard.</w:t>
      </w:r>
    </w:p>
    <w:p>
      <w:r>
        <w:rPr>
          <w:b/>
        </w:rPr>
        <w:t>E. 2.1</w:t>
      </w:r>
    </w:p>
    <w:p>
      <w:r>
        <w:t>Selon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rPr>
          <w:b/>
        </w:rPr>
        <w:t>E. 2.1.1</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w:t>
      </w:r>
    </w:p>
    <w:p>
      <w:r>
        <w:t>- 7 -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w:t>
      </w:r>
    </w:p>
    <w:p>
      <w:r>
        <w:rPr>
          <w:b/>
        </w:rPr>
        <w:t>E. 2.1.2</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w:t>
      </w:r>
    </w:p>
    <w:p>
      <w:r>
        <w:rPr>
          <w:b/>
        </w:rPr>
        <w:t>E. 2.1.3</w:t>
      </w:r>
    </w:p>
    <w:p>
      <w:r>
        <w:t>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3e éd., 2021, [ci-après : CR- COI],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(TF 5A_65/2020 du 7 juillet 2020 consid. 4.2.4 ; ATF 145 III 20 consid. 4.3.3 ; TF 5A_867/2018 du 4 mars 2019 consid. 4.1.3 ; cf. ATF 143 III 564 consid. 4.4.3 ; Veuillet/Abbet, in Abbet/Veuillet (éd.), La mainlevée de l’opposition, 2e éd., 2022, n. 35 ad art. 82 LP et les autres arrêts cités).</w:t>
      </w:r>
    </w:p>
    <w:p>
      <w:r>
        <w:t>- 8 -</w:t>
      </w:r>
    </w:p>
    <w:p>
      <w:r>
        <w:rPr>
          <w:b/>
        </w:rPr>
        <w:t>E. 2.2</w:t>
      </w:r>
    </w:p>
    <w:p>
      <w:r>
        <w:t>En l’espèce, le titre à la mainlevée invoqué est une convention signée le 19 décembre 2013 entre les actionnaires de Q.________ SA, à savoir le recourant et P.________ SA. Il est en outre manifeste – et le recourant ne le conteste d’ailleurs pas – que l’intimé, V.________ et K.________ ont signé la convention en leur qualité de représentants de P.________ SA. L’article 13 de la convention mentionne que le recourant a consenti un prêt de 143'512 fr. 52 à la société G.________ Sàrl et que ce prêt lui sera remboursé d’ici au 31 décembre 2014. Il ne précise en revanche pas qui, de G.________ Sàrl, Q.________ SA, voire de P.________ SA, devra rembourser la somme en question. Dans la mesure où il s’agit d’une convention signée entre les actionnaires de Q.________ SA et que la clause subordonne le remboursement à la condition que « les résultat de l’entreprise le permettent » on peut toutefois retenir que la somme devait être remboursée par Q.________ SA. Les clauses nos 14 et 20, dont le recourant se prévaut dans son écriture de deuxième instance, ne ressortent pas de l’état de fait retenu par le premier juge, sans que le recourant n’invoque de manière motivée une constatation manifestement inexacte des faits. Ces clauses ne concernent de toute manière que les droits et obligations des parties à la convention – à savoir le recourant lui- même et P.________ SA – et ne s’appliquent donc pas aux personnes ayant pris des engagements pour le compte de Q.________ SA. C’est donc à bon droit que le premier juge a considéré que la convention d’actionnaires en cause ne permettait pas de conclure que l’intimé était débiteur à titre personnel du montant en poursuite, ce qui suffit à sceller le sort du recours.</w:t>
      </w:r>
    </w:p>
    <w:p>
      <w:r>
        <w:rPr>
          <w:b/>
        </w:rPr>
        <w:t>E. 3</w:t>
      </w:r>
    </w:p>
    <w:p>
      <w:r>
        <w:t>En conclusion, le recours doit être rejeté selon le mode procédural de l’art. 322 al. 1 CPC et le prononcé confirmé. Vu le rejet du recours, les frais judiciaires de deuxième instance, arrêtés à 990 fr., sont mis à la charge du recourant.</w:t>
      </w:r>
    </w:p>
    <w:p>
      <w:r>
        <w:t>- 9 -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